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12" w:rsidRPr="00A535B3" w:rsidRDefault="00FE7388" w:rsidP="00CD7912">
      <w:pPr>
        <w:jc w:val="center"/>
        <w:rPr>
          <w:b/>
          <w:sz w:val="28"/>
        </w:rPr>
      </w:pPr>
      <w:r w:rsidRPr="00A535B3">
        <w:rPr>
          <w:b/>
          <w:sz w:val="28"/>
        </w:rPr>
        <w:t>A Matter of Preference</w:t>
      </w:r>
    </w:p>
    <w:p w:rsidR="00CD7912" w:rsidRPr="00A95CB9" w:rsidRDefault="00297F2A" w:rsidP="00A95CB9">
      <w:pPr>
        <w:jc w:val="center"/>
      </w:pPr>
      <w:r w:rsidRPr="00A95CB9">
        <w:t>Preference Ordering</w:t>
      </w:r>
      <w:r w:rsidR="00913769">
        <w:t>, Red Teaming,</w:t>
      </w:r>
      <w:r w:rsidR="00FE7388">
        <w:t xml:space="preserve"> &amp; </w:t>
      </w:r>
      <w:r w:rsidR="00913769">
        <w:t>the Need for Cultural Awareness</w:t>
      </w:r>
    </w:p>
    <w:p w:rsidR="00A535B3" w:rsidRDefault="00A535B3" w:rsidP="001810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CD7912" w:rsidRPr="00A95CB9" w:rsidRDefault="00CD7912" w:rsidP="0018106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A535B3" w:rsidRDefault="00CD7912" w:rsidP="00A535B3">
      <w:pPr>
        <w:jc w:val="center"/>
        <w:rPr>
          <w:color w:val="000000"/>
          <w:sz w:val="22"/>
        </w:rPr>
      </w:pPr>
      <w:r w:rsidRPr="00A535B3">
        <w:rPr>
          <w:color w:val="000000"/>
          <w:sz w:val="22"/>
        </w:rPr>
        <w:t>"</w:t>
      </w:r>
      <w:r w:rsidRPr="00A535B3">
        <w:rPr>
          <w:rFonts w:cs="Helvetica"/>
          <w:bCs/>
          <w:sz w:val="22"/>
          <w:szCs w:val="26"/>
        </w:rPr>
        <w:t>If you do not know your enemies…you will be imperiled in every single battle.</w:t>
      </w:r>
      <w:r w:rsidRPr="00A535B3">
        <w:rPr>
          <w:color w:val="000000"/>
          <w:sz w:val="22"/>
        </w:rPr>
        <w:t>"</w:t>
      </w:r>
      <w:r w:rsidRPr="00A95CB9">
        <w:rPr>
          <w:color w:val="000000"/>
        </w:rPr>
        <w:t xml:space="preserve"> </w:t>
      </w:r>
      <w:r w:rsidRPr="00896A8D">
        <w:rPr>
          <w:b/>
          <w:color w:val="000000"/>
          <w:sz w:val="22"/>
        </w:rPr>
        <w:t>Sun Tzu</w:t>
      </w:r>
      <w:r w:rsidRPr="00896A8D">
        <w:rPr>
          <w:color w:val="000000"/>
          <w:sz w:val="22"/>
        </w:rPr>
        <w:t>, 6thC BC</w:t>
      </w:r>
      <w:r w:rsidRPr="00896A8D">
        <w:rPr>
          <w:rStyle w:val="FootnoteReference"/>
          <w:color w:val="000000"/>
          <w:sz w:val="22"/>
        </w:rPr>
        <w:footnoteReference w:id="-1"/>
      </w:r>
    </w:p>
    <w:p w:rsidR="00A535B3" w:rsidRDefault="00A535B3" w:rsidP="00A535B3">
      <w:pPr>
        <w:jc w:val="center"/>
        <w:rPr>
          <w:color w:val="000000"/>
          <w:sz w:val="22"/>
        </w:rPr>
      </w:pPr>
    </w:p>
    <w:p w:rsidR="00A535B3" w:rsidRDefault="00A535B3" w:rsidP="00A535B3">
      <w:pPr>
        <w:jc w:val="center"/>
        <w:rPr>
          <w:i/>
          <w:color w:val="000000"/>
          <w:sz w:val="22"/>
        </w:rPr>
      </w:pPr>
      <w:r>
        <w:rPr>
          <w:color w:val="000000"/>
          <w:sz w:val="22"/>
        </w:rPr>
        <w:t xml:space="preserve">“A desk is a dangerous place from which to view the world.”  </w:t>
      </w:r>
      <w:r>
        <w:rPr>
          <w:b/>
          <w:color w:val="000000"/>
          <w:sz w:val="22"/>
        </w:rPr>
        <w:t xml:space="preserve">John Le </w:t>
      </w:r>
      <w:proofErr w:type="spellStart"/>
      <w:r>
        <w:rPr>
          <w:b/>
          <w:color w:val="000000"/>
          <w:sz w:val="22"/>
        </w:rPr>
        <w:t>Carré</w:t>
      </w:r>
      <w:proofErr w:type="spellEnd"/>
      <w:r>
        <w:rPr>
          <w:color w:val="000000"/>
          <w:sz w:val="22"/>
        </w:rPr>
        <w:t xml:space="preserve">, </w:t>
      </w:r>
      <w:r>
        <w:rPr>
          <w:i/>
          <w:color w:val="000000"/>
          <w:sz w:val="22"/>
        </w:rPr>
        <w:t>Tinker, Tailor, Solider, Spy</w:t>
      </w:r>
    </w:p>
    <w:p w:rsidR="00171633" w:rsidRDefault="00171633"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color w:val="000000"/>
          <w:u w:val="single"/>
        </w:rPr>
      </w:pPr>
    </w:p>
    <w:p w:rsidR="00171633" w:rsidRPr="00C65EF4" w:rsidRDefault="00171633" w:rsidP="00171633">
      <w:pPr>
        <w:rPr>
          <w:color w:val="000000"/>
        </w:rPr>
      </w:pPr>
      <w:r w:rsidRPr="00C65EF4">
        <w:rPr>
          <w:b/>
          <w:color w:val="000000"/>
          <w:u w:val="single"/>
        </w:rPr>
        <w:t>Abstract</w:t>
      </w:r>
      <w:r w:rsidRPr="00C65EF4">
        <w:rPr>
          <w:color w:val="000000"/>
        </w:rPr>
        <w:t>:</w:t>
      </w:r>
    </w:p>
    <w:p w:rsidR="00E809F1" w:rsidRPr="00C65EF4" w:rsidRDefault="00964054" w:rsidP="00E809F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566"/>
        <w:rPr>
          <w:rFonts w:cs="Helvetica"/>
        </w:rPr>
      </w:pPr>
      <w:r>
        <w:rPr>
          <w:color w:val="000000"/>
        </w:rPr>
        <w:t xml:space="preserve">This paper is concerned with the matter of preferences.  As with any activity, decisions </w:t>
      </w:r>
      <w:r w:rsidR="00E809F1">
        <w:rPr>
          <w:color w:val="000000"/>
        </w:rPr>
        <w:t>regarding</w:t>
      </w:r>
      <w:r>
        <w:rPr>
          <w:color w:val="000000"/>
        </w:rPr>
        <w:t xml:space="preserve"> war reflect a hierarchy of values that condition choice.</w:t>
      </w:r>
      <w:r w:rsidR="00E809F1">
        <w:rPr>
          <w:color w:val="000000"/>
        </w:rPr>
        <w:t xml:space="preserve">  These preferences </w:t>
      </w:r>
      <w:r w:rsidR="009A439C">
        <w:rPr>
          <w:color w:val="000000"/>
        </w:rPr>
        <w:t xml:space="preserve">in turn shape the scope and </w:t>
      </w:r>
      <w:r w:rsidR="00E809F1">
        <w:rPr>
          <w:color w:val="000000"/>
        </w:rPr>
        <w:t xml:space="preserve">conduct of the war itself.  For example, </w:t>
      </w:r>
      <w:r w:rsidR="00D168A0">
        <w:rPr>
          <w:color w:val="000000"/>
        </w:rPr>
        <w:t>soldiers who</w:t>
      </w:r>
      <w:r w:rsidR="00E809F1">
        <w:rPr>
          <w:color w:val="000000"/>
        </w:rPr>
        <w:t xml:space="preserve"> value self-preservation above all will break soon after battle is joined.  In contrast, those who prefer the survival of their community can be anticipated to fight until the bitter end.  These differences are crucial, yet are a reality modern security studies poorly appreciates.  As with much </w:t>
      </w:r>
      <w:r w:rsidR="00D168A0">
        <w:rPr>
          <w:color w:val="000000"/>
        </w:rPr>
        <w:t>of the thinking</w:t>
      </w:r>
      <w:r w:rsidR="00E809F1">
        <w:rPr>
          <w:color w:val="000000"/>
        </w:rPr>
        <w:t xml:space="preserve"> inspired by the Enlightenment, it is tacitly assumed that the hierarchy of values any actor espouses is universal.  Judging by the frequency with which the international community embraces sanctions as tool of coercive diplomacy, materialism in particular is seen as reigning supreme.  Yet the very failure of these policies puts paid to the idea of a universality of preferences.  Moreover, even when preferences are not assumed by policymakers to be common, the assumptions made in their stead have often been characterized by a complete and utter lack of cultural understanding.  It is, after all, culture that underpins the </w:t>
      </w:r>
      <w:r w:rsidR="009A439C">
        <w:rPr>
          <w:color w:val="000000"/>
        </w:rPr>
        <w:t>ranking</w:t>
      </w:r>
      <w:r w:rsidR="00E809F1">
        <w:rPr>
          <w:color w:val="000000"/>
        </w:rPr>
        <w:t xml:space="preserve"> of preferences in the first place.  Lacking such insight, </w:t>
      </w:r>
      <w:r w:rsidR="00AF773C">
        <w:rPr>
          <w:color w:val="000000"/>
        </w:rPr>
        <w:t>catastrophic</w:t>
      </w:r>
      <w:r w:rsidR="00E809F1">
        <w:rPr>
          <w:color w:val="000000"/>
        </w:rPr>
        <w:t xml:space="preserve"> policy decisions </w:t>
      </w:r>
      <w:r w:rsidR="00AF773C">
        <w:rPr>
          <w:color w:val="000000"/>
        </w:rPr>
        <w:t>frequently follow</w:t>
      </w:r>
      <w:r w:rsidR="00E809F1">
        <w:rPr>
          <w:color w:val="000000"/>
        </w:rPr>
        <w:t xml:space="preserve">, of which the German invasion of Russia and the Japanese assault on Pearl Harbor are discussed here.  The implication for those tasked with a ‘red team’ or ‘opposing force’ (OPFOR) role is that they must be trained </w:t>
      </w:r>
      <w:r w:rsidR="00E809F1">
        <w:rPr>
          <w:rFonts w:cs="Helvetica"/>
        </w:rPr>
        <w:t xml:space="preserve">not </w:t>
      </w:r>
      <w:r w:rsidR="00BB3A6F">
        <w:rPr>
          <w:rFonts w:cs="Helvetica"/>
        </w:rPr>
        <w:t>only</w:t>
      </w:r>
      <w:r w:rsidR="00E809F1">
        <w:rPr>
          <w:rFonts w:cs="Helvetica"/>
        </w:rPr>
        <w:t xml:space="preserve"> </w:t>
      </w:r>
      <w:r w:rsidR="00E809F1" w:rsidRPr="00C65EF4">
        <w:rPr>
          <w:rFonts w:cs="Helvetica"/>
        </w:rPr>
        <w:t>in</w:t>
      </w:r>
      <w:r w:rsidR="00E809F1">
        <w:rPr>
          <w:rFonts w:cs="Helvetica"/>
        </w:rPr>
        <w:t xml:space="preserve"> the</w:t>
      </w:r>
      <w:r w:rsidR="00E809F1" w:rsidRPr="00C65EF4">
        <w:rPr>
          <w:rFonts w:cs="Helvetica"/>
        </w:rPr>
        <w:t xml:space="preserve"> operational plans of prospective rivals, but </w:t>
      </w:r>
      <w:r w:rsidR="009A439C">
        <w:rPr>
          <w:rFonts w:cs="Helvetica"/>
        </w:rPr>
        <w:t xml:space="preserve">also </w:t>
      </w:r>
      <w:r w:rsidR="00AF773C">
        <w:rPr>
          <w:rFonts w:cs="Helvetica"/>
        </w:rPr>
        <w:t>sufficiently immersed in a prospective opponent’s culture</w:t>
      </w:r>
      <w:r w:rsidR="00D168A0">
        <w:rPr>
          <w:rFonts w:cs="Helvetica"/>
        </w:rPr>
        <w:t>.  Only by doing so can on</w:t>
      </w:r>
      <w:r w:rsidR="00A05E80">
        <w:rPr>
          <w:rFonts w:cs="Helvetica"/>
        </w:rPr>
        <w:t>e</w:t>
      </w:r>
      <w:r w:rsidR="00BD4585">
        <w:rPr>
          <w:rFonts w:cs="Helvetica"/>
        </w:rPr>
        <w:t xml:space="preserve"> </w:t>
      </w:r>
      <w:proofErr w:type="gramStart"/>
      <w:r w:rsidR="00BD4585">
        <w:rPr>
          <w:rFonts w:cs="Helvetica"/>
        </w:rPr>
        <w:t>uncover</w:t>
      </w:r>
      <w:proofErr w:type="gramEnd"/>
      <w:r w:rsidR="00A05E80">
        <w:rPr>
          <w:rFonts w:cs="Helvetica"/>
        </w:rPr>
        <w:t xml:space="preserve"> the hierarchy of values</w:t>
      </w:r>
      <w:r w:rsidR="00AF773C">
        <w:rPr>
          <w:rFonts w:cs="Helvetica"/>
        </w:rPr>
        <w:t xml:space="preserve"> that inform the</w:t>
      </w:r>
      <w:r w:rsidR="00E809F1">
        <w:rPr>
          <w:rFonts w:cs="Helvetica"/>
        </w:rPr>
        <w:t xml:space="preserve"> </w:t>
      </w:r>
      <w:r w:rsidR="00A05E80">
        <w:rPr>
          <w:rFonts w:cs="Helvetica"/>
        </w:rPr>
        <w:t>adoption and implementation of</w:t>
      </w:r>
      <w:r w:rsidR="00BD4585">
        <w:rPr>
          <w:rFonts w:cs="Helvetica"/>
        </w:rPr>
        <w:t xml:space="preserve"> </w:t>
      </w:r>
      <w:r w:rsidR="009A439C">
        <w:rPr>
          <w:rFonts w:cs="Helvetica"/>
        </w:rPr>
        <w:t xml:space="preserve">military </w:t>
      </w:r>
      <w:r w:rsidR="00BD4585">
        <w:rPr>
          <w:rFonts w:cs="Helvetica"/>
        </w:rPr>
        <w:t>doctrines</w:t>
      </w:r>
      <w:r w:rsidR="00AF773C">
        <w:rPr>
          <w:rFonts w:cs="Helvetica"/>
        </w:rPr>
        <w:t>.</w:t>
      </w:r>
    </w:p>
    <w:p w:rsidR="003F37E7" w:rsidRDefault="003F37E7" w:rsidP="00AF77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6E3939" w:rsidRPr="00E809F1" w:rsidRDefault="006E3939" w:rsidP="00AF77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Helvetica"/>
        </w:rPr>
      </w:pPr>
    </w:p>
    <w:p w:rsidR="00964054" w:rsidRPr="00964054" w:rsidRDefault="006E3939"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color w:val="000000"/>
          <w:u w:val="single"/>
        </w:rPr>
      </w:pPr>
      <w:r w:rsidRPr="00A95CB9">
        <w:rPr>
          <w:color w:val="000000"/>
          <w:u w:val="single"/>
        </w:rPr>
        <w:t>1.0</w:t>
      </w:r>
      <w:r w:rsidRPr="00A95CB9">
        <w:rPr>
          <w:b/>
          <w:color w:val="000000"/>
          <w:u w:val="single"/>
        </w:rPr>
        <w:t xml:space="preserve"> Introduction</w:t>
      </w:r>
      <w:r w:rsidR="00964054">
        <w:rPr>
          <w:color w:val="000000"/>
        </w:rPr>
        <w:t xml:space="preserve"> </w:t>
      </w:r>
    </w:p>
    <w:p w:rsidR="00E13B29" w:rsidRPr="00964054" w:rsidRDefault="00E13B29"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p>
    <w:p w:rsidR="00E13B29" w:rsidRPr="00A95CB9" w:rsidRDefault="00675496"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i/>
          <w:color w:val="000000"/>
        </w:rPr>
      </w:pPr>
      <w:r w:rsidRPr="00A95CB9">
        <w:rPr>
          <w:i/>
          <w:color w:val="000000"/>
        </w:rPr>
        <w:t>The Rationalist Roots of Security Studies</w:t>
      </w:r>
    </w:p>
    <w:p w:rsidR="00E63B92" w:rsidRPr="00A95CB9" w:rsidRDefault="00416A0F"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sidRPr="00A95CB9">
        <w:rPr>
          <w:b/>
          <w:color w:val="000000"/>
        </w:rPr>
        <w:tab/>
      </w:r>
      <w:r w:rsidR="002C620B" w:rsidRPr="00A95CB9">
        <w:rPr>
          <w:color w:val="000000"/>
        </w:rPr>
        <w:t>Few bequests have been more profound or as enduring as that of the Enlightenment</w:t>
      </w:r>
      <w:r w:rsidR="00D669AE" w:rsidRPr="00A95CB9">
        <w:rPr>
          <w:color w:val="000000"/>
        </w:rPr>
        <w:t>.  H</w:t>
      </w:r>
      <w:r w:rsidR="002C620B" w:rsidRPr="00A95CB9">
        <w:rPr>
          <w:color w:val="000000"/>
        </w:rPr>
        <w:t>ere</w:t>
      </w:r>
      <w:r w:rsidR="000659FD" w:rsidRPr="00A95CB9">
        <w:rPr>
          <w:color w:val="000000"/>
        </w:rPr>
        <w:t>, in</w:t>
      </w:r>
      <w:r w:rsidR="00D669AE" w:rsidRPr="00A95CB9">
        <w:rPr>
          <w:color w:val="000000"/>
        </w:rPr>
        <w:t xml:space="preserve"> the late 17</w:t>
      </w:r>
      <w:r w:rsidR="00D669AE" w:rsidRPr="00A95CB9">
        <w:rPr>
          <w:color w:val="000000"/>
          <w:vertAlign w:val="superscript"/>
        </w:rPr>
        <w:t>th</w:t>
      </w:r>
      <w:r w:rsidR="00D669AE" w:rsidRPr="00A95CB9">
        <w:rPr>
          <w:color w:val="000000"/>
        </w:rPr>
        <w:t xml:space="preserve"> and 18</w:t>
      </w:r>
      <w:r w:rsidR="00D669AE" w:rsidRPr="00A95CB9">
        <w:rPr>
          <w:color w:val="000000"/>
          <w:vertAlign w:val="superscript"/>
        </w:rPr>
        <w:t>th</w:t>
      </w:r>
      <w:r w:rsidR="00D669AE" w:rsidRPr="00A95CB9">
        <w:rPr>
          <w:color w:val="000000"/>
        </w:rPr>
        <w:t xml:space="preserve"> centuries,</w:t>
      </w:r>
      <w:r w:rsidR="00880E57" w:rsidRPr="00A95CB9">
        <w:rPr>
          <w:color w:val="000000"/>
        </w:rPr>
        <w:t xml:space="preserve"> scholars </w:t>
      </w:r>
      <w:r w:rsidR="00791D32" w:rsidRPr="00A95CB9">
        <w:rPr>
          <w:color w:val="000000"/>
        </w:rPr>
        <w:t>like</w:t>
      </w:r>
      <w:r w:rsidR="00880E57" w:rsidRPr="00A95CB9">
        <w:rPr>
          <w:color w:val="000000"/>
        </w:rPr>
        <w:t xml:space="preserve"> </w:t>
      </w:r>
      <w:r w:rsidR="000659FD" w:rsidRPr="00A95CB9">
        <w:rPr>
          <w:color w:val="000000"/>
        </w:rPr>
        <w:t>Descartes</w:t>
      </w:r>
      <w:r w:rsidR="00880E57" w:rsidRPr="00A95CB9">
        <w:rPr>
          <w:color w:val="000000"/>
        </w:rPr>
        <w:t xml:space="preserve"> and Newton, followed by Kant, Rousseau, and Smith, </w:t>
      </w:r>
      <w:r w:rsidR="000252FA" w:rsidRPr="00A95CB9">
        <w:rPr>
          <w:color w:val="000000"/>
        </w:rPr>
        <w:t xml:space="preserve">argued that social phenomena were not the product of </w:t>
      </w:r>
      <w:r w:rsidR="00340D01" w:rsidRPr="00A95CB9">
        <w:rPr>
          <w:color w:val="000000"/>
        </w:rPr>
        <w:t>divine intervention</w:t>
      </w:r>
      <w:r w:rsidR="000252FA" w:rsidRPr="00A95CB9">
        <w:rPr>
          <w:color w:val="000000"/>
        </w:rPr>
        <w:t>—</w:t>
      </w:r>
      <w:r w:rsidR="00E63B92" w:rsidRPr="00A95CB9">
        <w:rPr>
          <w:color w:val="000000"/>
        </w:rPr>
        <w:t>be it</w:t>
      </w:r>
      <w:r w:rsidR="000252FA" w:rsidRPr="00A95CB9">
        <w:rPr>
          <w:color w:val="000000"/>
        </w:rPr>
        <w:t xml:space="preserve"> capricious or beneficent—but rather the consequence of tangible forces,</w:t>
      </w:r>
      <w:r w:rsidR="00340D01" w:rsidRPr="00A95CB9">
        <w:rPr>
          <w:color w:val="000000"/>
        </w:rPr>
        <w:t xml:space="preserve"> driven by material self interest,</w:t>
      </w:r>
      <w:r w:rsidR="000252FA" w:rsidRPr="00A95CB9">
        <w:rPr>
          <w:color w:val="000000"/>
        </w:rPr>
        <w:t xml:space="preserve"> </w:t>
      </w:r>
      <w:r w:rsidR="00340D01" w:rsidRPr="00A95CB9">
        <w:rPr>
          <w:color w:val="000000"/>
        </w:rPr>
        <w:t>and discoverable</w:t>
      </w:r>
      <w:r w:rsidR="000252FA" w:rsidRPr="00A95CB9">
        <w:rPr>
          <w:color w:val="000000"/>
        </w:rPr>
        <w:t xml:space="preserve"> by reason.</w:t>
      </w:r>
      <w:r w:rsidR="00340D01" w:rsidRPr="00A95CB9">
        <w:rPr>
          <w:color w:val="000000"/>
        </w:rPr>
        <w:t xml:space="preserve">  They argued</w:t>
      </w:r>
      <w:r w:rsidR="002F1DD6">
        <w:rPr>
          <w:color w:val="000000"/>
        </w:rPr>
        <w:t xml:space="preserve"> </w:t>
      </w:r>
      <w:r w:rsidR="00340D01" w:rsidRPr="00A95CB9">
        <w:rPr>
          <w:color w:val="000000"/>
        </w:rPr>
        <w:t>that the right of kings should not be seen as the product of God’s words, encapsulated in scripture</w:t>
      </w:r>
      <w:r w:rsidR="002F1DD6">
        <w:rPr>
          <w:color w:val="000000"/>
        </w:rPr>
        <w:t>,</w:t>
      </w:r>
      <w:r w:rsidR="00340D01" w:rsidRPr="00A95CB9">
        <w:rPr>
          <w:color w:val="000000"/>
        </w:rPr>
        <w:t xml:space="preserve"> and reflecting the desires of some higher power, but rather </w:t>
      </w:r>
      <w:r w:rsidR="002F1DD6">
        <w:rPr>
          <w:color w:val="000000"/>
        </w:rPr>
        <w:t xml:space="preserve">as </w:t>
      </w:r>
      <w:r w:rsidR="00340D01" w:rsidRPr="00A95CB9">
        <w:rPr>
          <w:color w:val="000000"/>
        </w:rPr>
        <w:t>a reflection of self-interested actors whose chief interest lay in the maintenance of power and all the</w:t>
      </w:r>
      <w:r w:rsidR="00E63B92" w:rsidRPr="00A95CB9">
        <w:rPr>
          <w:color w:val="000000"/>
        </w:rPr>
        <w:t xml:space="preserve"> freedoms and luxuries</w:t>
      </w:r>
      <w:r w:rsidR="00340D01" w:rsidRPr="00A95CB9">
        <w:rPr>
          <w:color w:val="000000"/>
        </w:rPr>
        <w:t xml:space="preserve"> it brings. </w:t>
      </w:r>
      <w:r w:rsidR="00E63B92" w:rsidRPr="00A95CB9">
        <w:rPr>
          <w:color w:val="000000"/>
        </w:rPr>
        <w:t xml:space="preserve"> In other words, the root of causation was shifted from the ethereal to the material, from matters of faith to </w:t>
      </w:r>
      <w:r w:rsidR="002F1DD6">
        <w:rPr>
          <w:color w:val="000000"/>
        </w:rPr>
        <w:t xml:space="preserve">the </w:t>
      </w:r>
      <w:r w:rsidR="00E63B92" w:rsidRPr="00A95CB9">
        <w:rPr>
          <w:color w:val="000000"/>
        </w:rPr>
        <w:t>assumption of material interest.</w:t>
      </w:r>
      <w:r w:rsidR="00CE5BF7" w:rsidRPr="00A95CB9">
        <w:rPr>
          <w:color w:val="000000"/>
        </w:rPr>
        <w:t xml:space="preserve"> </w:t>
      </w:r>
    </w:p>
    <w:p w:rsidR="00A62A4C" w:rsidRPr="00A95CB9" w:rsidRDefault="00E63B92" w:rsidP="00A62A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sidRPr="00A95CB9">
        <w:rPr>
          <w:color w:val="000000"/>
        </w:rPr>
        <w:tab/>
        <w:t xml:space="preserve">It is good that this transformation </w:t>
      </w:r>
      <w:r w:rsidR="00CE5BF7" w:rsidRPr="00A95CB9">
        <w:rPr>
          <w:color w:val="000000"/>
        </w:rPr>
        <w:t>took place,</w:t>
      </w:r>
      <w:r w:rsidR="002F1DD6">
        <w:rPr>
          <w:color w:val="000000"/>
        </w:rPr>
        <w:t xml:space="preserve"> for without an appreciation of</w:t>
      </w:r>
      <w:r w:rsidR="00CE5BF7" w:rsidRPr="00A95CB9">
        <w:rPr>
          <w:color w:val="000000"/>
        </w:rPr>
        <w:t xml:space="preserve"> </w:t>
      </w:r>
      <w:r w:rsidR="00E40FFD" w:rsidRPr="00A95CB9">
        <w:rPr>
          <w:color w:val="000000"/>
        </w:rPr>
        <w:t>human</w:t>
      </w:r>
      <w:r w:rsidR="00CE5BF7" w:rsidRPr="00A95CB9">
        <w:rPr>
          <w:color w:val="000000"/>
        </w:rPr>
        <w:t xml:space="preserve"> agency</w:t>
      </w:r>
      <w:r w:rsidRPr="00A95CB9">
        <w:rPr>
          <w:color w:val="000000"/>
        </w:rPr>
        <w:t xml:space="preserve"> </w:t>
      </w:r>
      <w:r w:rsidR="00E40FFD" w:rsidRPr="00A95CB9">
        <w:rPr>
          <w:color w:val="000000"/>
        </w:rPr>
        <w:t xml:space="preserve">in the matter of causation, </w:t>
      </w:r>
      <w:r w:rsidRPr="00A95CB9">
        <w:rPr>
          <w:color w:val="000000"/>
        </w:rPr>
        <w:t xml:space="preserve">the birth of science would </w:t>
      </w:r>
      <w:r w:rsidR="002F1DD6">
        <w:rPr>
          <w:color w:val="000000"/>
        </w:rPr>
        <w:t xml:space="preserve">have </w:t>
      </w:r>
      <w:r w:rsidRPr="00A95CB9">
        <w:rPr>
          <w:color w:val="000000"/>
        </w:rPr>
        <w:t>b</w:t>
      </w:r>
      <w:r w:rsidR="002F1DD6">
        <w:rPr>
          <w:color w:val="000000"/>
        </w:rPr>
        <w:t>e</w:t>
      </w:r>
      <w:r w:rsidRPr="00A95CB9">
        <w:rPr>
          <w:color w:val="000000"/>
        </w:rPr>
        <w:t>e</w:t>
      </w:r>
      <w:r w:rsidR="002F1DD6">
        <w:rPr>
          <w:color w:val="000000"/>
        </w:rPr>
        <w:t>n</w:t>
      </w:r>
      <w:r w:rsidRPr="00A95CB9">
        <w:rPr>
          <w:color w:val="000000"/>
        </w:rPr>
        <w:t xml:space="preserve"> impossible.</w:t>
      </w:r>
      <w:r w:rsidR="00CE5BF7" w:rsidRPr="00A95CB9">
        <w:rPr>
          <w:color w:val="000000"/>
        </w:rPr>
        <w:t xml:space="preserve">  Indeed, the search for consistent patterns amongst collected data—</w:t>
      </w:r>
      <w:r w:rsidR="002F1DD6">
        <w:rPr>
          <w:color w:val="000000"/>
        </w:rPr>
        <w:t>the technique that</w:t>
      </w:r>
      <w:r w:rsidR="00CE5BF7" w:rsidRPr="00A95CB9">
        <w:rPr>
          <w:color w:val="000000"/>
        </w:rPr>
        <w:t xml:space="preserve"> lies at the heart of the scientific method—cannot take place if causal mechanisms are deemed beyond the</w:t>
      </w:r>
      <w:r w:rsidR="00075747" w:rsidRPr="00A95CB9">
        <w:rPr>
          <w:color w:val="000000"/>
        </w:rPr>
        <w:t xml:space="preserve"> scope of human comprehension</w:t>
      </w:r>
      <w:r w:rsidR="00AE58AE" w:rsidRPr="00A95CB9">
        <w:rPr>
          <w:color w:val="000000"/>
        </w:rPr>
        <w:t>.</w:t>
      </w:r>
      <w:r w:rsidR="00075747" w:rsidRPr="00A95CB9">
        <w:rPr>
          <w:rStyle w:val="FootnoteReference"/>
          <w:color w:val="000000"/>
        </w:rPr>
        <w:footnoteReference w:id="0"/>
      </w:r>
      <w:r w:rsidR="00AE58AE" w:rsidRPr="00A95CB9">
        <w:rPr>
          <w:color w:val="000000"/>
        </w:rPr>
        <w:t xml:space="preserve">  </w:t>
      </w:r>
      <w:r w:rsidR="00CE5BF7" w:rsidRPr="00A95CB9">
        <w:rPr>
          <w:color w:val="000000"/>
        </w:rPr>
        <w:t>God’s will</w:t>
      </w:r>
      <w:r w:rsidR="00AE58AE" w:rsidRPr="00A95CB9">
        <w:rPr>
          <w:color w:val="000000"/>
        </w:rPr>
        <w:t xml:space="preserve">, after all, </w:t>
      </w:r>
      <w:r w:rsidR="00075747" w:rsidRPr="00A95CB9">
        <w:rPr>
          <w:color w:val="000000"/>
        </w:rPr>
        <w:t>is impossible to graph.  However, once the</w:t>
      </w:r>
      <w:r w:rsidR="006E6463" w:rsidRPr="00A95CB9">
        <w:rPr>
          <w:color w:val="000000"/>
        </w:rPr>
        <w:t xml:space="preserve"> idea of rationality took hold, theories predicated on </w:t>
      </w:r>
      <w:r w:rsidR="00027888" w:rsidRPr="00A95CB9">
        <w:rPr>
          <w:color w:val="000000"/>
        </w:rPr>
        <w:t xml:space="preserve">self-interested behaviour </w:t>
      </w:r>
      <w:r w:rsidR="00075747" w:rsidRPr="00A95CB9">
        <w:rPr>
          <w:color w:val="000000"/>
        </w:rPr>
        <w:t>began to proliferate.  In the realm of political science</w:t>
      </w:r>
      <w:r w:rsidR="00AE58AE" w:rsidRPr="00A95CB9">
        <w:rPr>
          <w:color w:val="000000"/>
        </w:rPr>
        <w:t xml:space="preserve">, </w:t>
      </w:r>
      <w:r w:rsidR="006E6463" w:rsidRPr="00A95CB9">
        <w:rPr>
          <w:color w:val="000000"/>
        </w:rPr>
        <w:t>studies considering the</w:t>
      </w:r>
      <w:r w:rsidR="005F07EF" w:rsidRPr="00A95CB9">
        <w:rPr>
          <w:color w:val="000000"/>
        </w:rPr>
        <w:t xml:space="preserve"> pursuit of power and wealth</w:t>
      </w:r>
      <w:r w:rsidR="006E6463" w:rsidRPr="00A95CB9">
        <w:rPr>
          <w:color w:val="000000"/>
        </w:rPr>
        <w:t xml:space="preserve"> were particularly susceptible to such thought</w:t>
      </w:r>
      <w:r w:rsidR="00075747" w:rsidRPr="00A95CB9">
        <w:rPr>
          <w:color w:val="000000"/>
        </w:rPr>
        <w:t>.</w:t>
      </w:r>
      <w:r w:rsidR="006E6463" w:rsidRPr="00A95CB9">
        <w:rPr>
          <w:color w:val="000000"/>
        </w:rPr>
        <w:t xml:space="preserve">  </w:t>
      </w:r>
      <w:r w:rsidR="002F1DD6">
        <w:rPr>
          <w:color w:val="000000"/>
        </w:rPr>
        <w:t>D</w:t>
      </w:r>
      <w:r w:rsidR="005F07EF" w:rsidRPr="00A95CB9">
        <w:rPr>
          <w:color w:val="000000"/>
        </w:rPr>
        <w:t xml:space="preserve">uring a long period of intellectual gestation, bookended by Machiavelli at one </w:t>
      </w:r>
      <w:r w:rsidR="002F1DD6">
        <w:rPr>
          <w:color w:val="000000"/>
        </w:rPr>
        <w:t xml:space="preserve">end </w:t>
      </w:r>
      <w:r w:rsidR="005F07EF" w:rsidRPr="00A95CB9">
        <w:rPr>
          <w:color w:val="000000"/>
        </w:rPr>
        <w:t xml:space="preserve">and the Victorian economist Alfred Marshall at the other, there rose to prominence the idea that </w:t>
      </w:r>
      <w:r w:rsidR="002F1DD6">
        <w:rPr>
          <w:i/>
          <w:color w:val="000000"/>
        </w:rPr>
        <w:t>all</w:t>
      </w:r>
      <w:r w:rsidR="002F1DD6">
        <w:rPr>
          <w:color w:val="000000"/>
        </w:rPr>
        <w:t xml:space="preserve"> </w:t>
      </w:r>
      <w:r w:rsidR="005F07EF" w:rsidRPr="00A95CB9">
        <w:rPr>
          <w:color w:val="000000"/>
        </w:rPr>
        <w:t xml:space="preserve">individuals </w:t>
      </w:r>
      <w:r w:rsidR="006E6463" w:rsidRPr="00A95CB9">
        <w:rPr>
          <w:color w:val="000000"/>
        </w:rPr>
        <w:t>were materially self-interested</w:t>
      </w:r>
      <w:r w:rsidR="005F07EF" w:rsidRPr="00A95CB9">
        <w:rPr>
          <w:color w:val="000000"/>
        </w:rPr>
        <w:t xml:space="preserve"> and</w:t>
      </w:r>
      <w:r w:rsidR="002F1DD6">
        <w:rPr>
          <w:color w:val="000000"/>
        </w:rPr>
        <w:t>, consequently, adopt</w:t>
      </w:r>
      <w:r w:rsidR="006E6463" w:rsidRPr="00A95CB9">
        <w:rPr>
          <w:color w:val="000000"/>
        </w:rPr>
        <w:t xml:space="preserve"> maximizing strategies with these ends in mind. </w:t>
      </w:r>
      <w:r w:rsidR="00A62A4C" w:rsidRPr="00A95CB9">
        <w:rPr>
          <w:color w:val="000000"/>
        </w:rPr>
        <w:t xml:space="preserve"> </w:t>
      </w:r>
    </w:p>
    <w:p w:rsidR="00E13B29" w:rsidRPr="00A95CB9" w:rsidRDefault="00A62A4C" w:rsidP="00A62A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sidRPr="00A95CB9">
        <w:rPr>
          <w:color w:val="000000"/>
        </w:rPr>
        <w:tab/>
        <w:t xml:space="preserve">The 20thC that followed would see </w:t>
      </w:r>
      <w:r w:rsidR="00E40FFD" w:rsidRPr="00A95CB9">
        <w:rPr>
          <w:color w:val="000000"/>
        </w:rPr>
        <w:t xml:space="preserve">rationalist theories </w:t>
      </w:r>
      <w:r w:rsidR="008E133B" w:rsidRPr="00A95CB9">
        <w:rPr>
          <w:color w:val="000000"/>
        </w:rPr>
        <w:t>transit</w:t>
      </w:r>
      <w:r w:rsidRPr="00A95CB9">
        <w:rPr>
          <w:color w:val="000000"/>
        </w:rPr>
        <w:t xml:space="preserve"> from strength to strength</w:t>
      </w:r>
      <w:r w:rsidR="00E40FFD" w:rsidRPr="00A95CB9">
        <w:rPr>
          <w:color w:val="000000"/>
        </w:rPr>
        <w:t>.</w:t>
      </w:r>
      <w:r w:rsidRPr="00A95CB9">
        <w:rPr>
          <w:color w:val="000000"/>
        </w:rPr>
        <w:t xml:space="preserve">  The</w:t>
      </w:r>
      <w:r w:rsidR="008E133B" w:rsidRPr="00A95CB9">
        <w:rPr>
          <w:color w:val="000000"/>
        </w:rPr>
        <w:t xml:space="preserve"> floodgates opened with the</w:t>
      </w:r>
      <w:r w:rsidRPr="00A95CB9">
        <w:rPr>
          <w:color w:val="000000"/>
        </w:rPr>
        <w:t xml:space="preserve"> ‘rational choice’ pioneers of the postwar era</w:t>
      </w:r>
      <w:r w:rsidR="008E133B" w:rsidRPr="00A95CB9">
        <w:rPr>
          <w:color w:val="000000"/>
        </w:rPr>
        <w:t xml:space="preserve">, who came offering models of </w:t>
      </w:r>
      <w:r w:rsidRPr="00A95CB9">
        <w:rPr>
          <w:color w:val="000000"/>
        </w:rPr>
        <w:t>self-interested behaviour in issues as disparate as collective action, voting, and coalition building.</w:t>
      </w:r>
      <w:r w:rsidRPr="00A95CB9">
        <w:rPr>
          <w:rStyle w:val="FootnoteReference"/>
          <w:color w:val="000000"/>
        </w:rPr>
        <w:footnoteReference w:id="1"/>
      </w:r>
      <w:r w:rsidR="006E3939" w:rsidRPr="00A95CB9">
        <w:rPr>
          <w:color w:val="000000"/>
        </w:rPr>
        <w:t xml:space="preserve">  Amongst the international relations literature, rationalist accounts dominated the mainstream.  </w:t>
      </w:r>
      <w:r w:rsidR="00297F2A" w:rsidRPr="00A95CB9">
        <w:rPr>
          <w:color w:val="000000"/>
        </w:rPr>
        <w:t>R</w:t>
      </w:r>
      <w:r w:rsidR="008E133B" w:rsidRPr="00A95CB9">
        <w:rPr>
          <w:color w:val="000000"/>
        </w:rPr>
        <w:t>ealists and li</w:t>
      </w:r>
      <w:r w:rsidR="003D37DE" w:rsidRPr="00A95CB9">
        <w:rPr>
          <w:color w:val="000000"/>
        </w:rPr>
        <w:t>berals</w:t>
      </w:r>
      <w:r w:rsidR="00297F2A" w:rsidRPr="00A95CB9">
        <w:rPr>
          <w:color w:val="000000"/>
        </w:rPr>
        <w:t>, after all, share a common ontology.  B</w:t>
      </w:r>
      <w:r w:rsidR="003D37DE" w:rsidRPr="00A95CB9">
        <w:rPr>
          <w:color w:val="000000"/>
        </w:rPr>
        <w:t xml:space="preserve">oth contend that </w:t>
      </w:r>
      <w:r w:rsidR="008E133B" w:rsidRPr="00A95CB9">
        <w:rPr>
          <w:color w:val="000000"/>
        </w:rPr>
        <w:t xml:space="preserve">rational self-maximization is </w:t>
      </w:r>
      <w:r w:rsidR="003D37DE" w:rsidRPr="00A95CB9">
        <w:rPr>
          <w:color w:val="000000"/>
        </w:rPr>
        <w:t xml:space="preserve">the </w:t>
      </w:r>
      <w:r w:rsidR="008E133B" w:rsidRPr="00A95CB9">
        <w:rPr>
          <w:color w:val="000000"/>
        </w:rPr>
        <w:t xml:space="preserve">certain </w:t>
      </w:r>
      <w:r w:rsidR="00297F2A" w:rsidRPr="00A95CB9">
        <w:rPr>
          <w:color w:val="000000"/>
        </w:rPr>
        <w:t>and</w:t>
      </w:r>
      <w:r w:rsidR="008E133B" w:rsidRPr="00A95CB9">
        <w:rPr>
          <w:color w:val="000000"/>
        </w:rPr>
        <w:t xml:space="preserve"> inevitable byproduct of an insatiably acquisitive human nature operating </w:t>
      </w:r>
      <w:r w:rsidR="002F1DD6">
        <w:rPr>
          <w:color w:val="000000"/>
        </w:rPr>
        <w:t xml:space="preserve">amidst resource </w:t>
      </w:r>
      <w:r w:rsidR="00297F2A" w:rsidRPr="00A95CB9">
        <w:rPr>
          <w:color w:val="000000"/>
        </w:rPr>
        <w:t>constraint</w:t>
      </w:r>
      <w:r w:rsidR="008E133B" w:rsidRPr="00A95CB9">
        <w:rPr>
          <w:color w:val="000000"/>
        </w:rPr>
        <w:t>.</w:t>
      </w:r>
      <w:r w:rsidR="003D37DE" w:rsidRPr="00A95CB9">
        <w:rPr>
          <w:rStyle w:val="FootnoteReference"/>
          <w:color w:val="000000"/>
        </w:rPr>
        <w:footnoteReference w:id="2"/>
      </w:r>
      <w:r w:rsidR="00297F2A" w:rsidRPr="00A95CB9">
        <w:rPr>
          <w:color w:val="000000"/>
        </w:rPr>
        <w:t xml:space="preserve">  In </w:t>
      </w:r>
      <w:r w:rsidR="00460382" w:rsidRPr="00A95CB9">
        <w:rPr>
          <w:color w:val="000000"/>
        </w:rPr>
        <w:t>both theoretical frameworks</w:t>
      </w:r>
      <w:r w:rsidR="00297F2A" w:rsidRPr="00A95CB9">
        <w:rPr>
          <w:color w:val="000000"/>
        </w:rPr>
        <w:t xml:space="preserve">, actors are </w:t>
      </w:r>
      <w:r w:rsidR="002F1DD6">
        <w:rPr>
          <w:color w:val="000000"/>
        </w:rPr>
        <w:t xml:space="preserve">universally </w:t>
      </w:r>
      <w:r w:rsidR="00297F2A" w:rsidRPr="00A95CB9">
        <w:rPr>
          <w:color w:val="000000"/>
        </w:rPr>
        <w:t xml:space="preserve">anticipated to </w:t>
      </w:r>
      <w:r w:rsidR="00E13B29" w:rsidRPr="00A95CB9">
        <w:rPr>
          <w:color w:val="000000"/>
        </w:rPr>
        <w:t>pursue material rewards and shy away from material costs.  That, at heart, is what the rational actor assumption is all about.</w:t>
      </w:r>
    </w:p>
    <w:p w:rsidR="006C0202" w:rsidRDefault="00E13B29" w:rsidP="004627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sidRPr="00A95CB9">
        <w:rPr>
          <w:color w:val="000000"/>
        </w:rPr>
        <w:tab/>
        <w:t>Such thinking has deeply influenced our understanding of security and the means to achieve it.  T</w:t>
      </w:r>
      <w:r w:rsidR="009E7D62" w:rsidRPr="00A95CB9">
        <w:rPr>
          <w:color w:val="000000"/>
        </w:rPr>
        <w:t xml:space="preserve">ake coercive </w:t>
      </w:r>
      <w:r w:rsidRPr="00A95CB9">
        <w:rPr>
          <w:color w:val="000000"/>
        </w:rPr>
        <w:t>diplomacy</w:t>
      </w:r>
      <w:r w:rsidR="009E7D62" w:rsidRPr="00A95CB9">
        <w:rPr>
          <w:color w:val="000000"/>
        </w:rPr>
        <w:t xml:space="preserve">.  The logic of this theory </w:t>
      </w:r>
      <w:r w:rsidR="00D168A0">
        <w:rPr>
          <w:color w:val="000000"/>
        </w:rPr>
        <w:t xml:space="preserve">clearly </w:t>
      </w:r>
      <w:r w:rsidR="006959B1" w:rsidRPr="00A95CB9">
        <w:rPr>
          <w:color w:val="000000"/>
        </w:rPr>
        <w:t>illustr</w:t>
      </w:r>
      <w:r w:rsidR="002F1DD6">
        <w:rPr>
          <w:color w:val="000000"/>
        </w:rPr>
        <w:t>ates the intellectual lineage connecting</w:t>
      </w:r>
      <w:r w:rsidR="006959B1" w:rsidRPr="00A95CB9">
        <w:rPr>
          <w:color w:val="000000"/>
        </w:rPr>
        <w:t xml:space="preserve"> security studies to rationalism, for it </w:t>
      </w:r>
      <w:r w:rsidR="009E7D62" w:rsidRPr="00A95CB9">
        <w:rPr>
          <w:color w:val="000000"/>
        </w:rPr>
        <w:t>suggests that the combination of threats and perhaps a limited use of force, coupled alongside a series of inducements, can be</w:t>
      </w:r>
      <w:r w:rsidR="006959B1" w:rsidRPr="00A95CB9">
        <w:rPr>
          <w:color w:val="000000"/>
        </w:rPr>
        <w:t xml:space="preserve"> used to</w:t>
      </w:r>
      <w:r w:rsidR="009E7D62" w:rsidRPr="00A95CB9">
        <w:rPr>
          <w:color w:val="000000"/>
        </w:rPr>
        <w:t xml:space="preserve"> dissuade an opponent from pursuing a particular policy.</w:t>
      </w:r>
      <w:r w:rsidR="006959B1" w:rsidRPr="00A95CB9">
        <w:rPr>
          <w:rStyle w:val="FootnoteReference"/>
          <w:color w:val="000000"/>
        </w:rPr>
        <w:footnoteReference w:id="3"/>
      </w:r>
      <w:r w:rsidR="009E7D62" w:rsidRPr="00A95CB9">
        <w:rPr>
          <w:color w:val="000000"/>
        </w:rPr>
        <w:t xml:space="preserve">  In other words, a truly rational actor should be </w:t>
      </w:r>
      <w:r w:rsidR="006959B1" w:rsidRPr="00A95CB9">
        <w:rPr>
          <w:color w:val="000000"/>
        </w:rPr>
        <w:t>persuaded</w:t>
      </w:r>
      <w:r w:rsidR="009E7D62" w:rsidRPr="00A95CB9">
        <w:rPr>
          <w:color w:val="000000"/>
        </w:rPr>
        <w:t xml:space="preserve"> by a combination of sticks and carrots sufficient to exceed the material </w:t>
      </w:r>
      <w:r w:rsidR="006959B1" w:rsidRPr="00A95CB9">
        <w:rPr>
          <w:color w:val="000000"/>
        </w:rPr>
        <w:t>return</w:t>
      </w:r>
      <w:r w:rsidR="006C0202">
        <w:rPr>
          <w:color w:val="000000"/>
        </w:rPr>
        <w:t xml:space="preserve"> of whatever policy </w:t>
      </w:r>
      <w:r w:rsidR="006959B1" w:rsidRPr="00A95CB9">
        <w:rPr>
          <w:color w:val="000000"/>
        </w:rPr>
        <w:t>the rival finds so egregious</w:t>
      </w:r>
      <w:r w:rsidR="00D168A0">
        <w:rPr>
          <w:color w:val="000000"/>
        </w:rPr>
        <w:t>.</w:t>
      </w:r>
      <w:r w:rsidR="006C0202">
        <w:rPr>
          <w:color w:val="000000"/>
        </w:rPr>
        <w:t xml:space="preserve">  By using</w:t>
      </w:r>
      <w:r w:rsidR="006C0202" w:rsidRPr="00A95CB9">
        <w:rPr>
          <w:color w:val="000000"/>
        </w:rPr>
        <w:t xml:space="preserve"> coercive diplomacy to push net benefit into loss, the aggravating policy will be halted.</w:t>
      </w:r>
      <w:r w:rsidR="006C0202">
        <w:rPr>
          <w:color w:val="000000"/>
        </w:rPr>
        <w:t xml:space="preserve">  </w:t>
      </w:r>
      <w:r w:rsidR="00D168A0">
        <w:rPr>
          <w:color w:val="000000"/>
        </w:rPr>
        <w:t>The implic</w:t>
      </w:r>
      <w:r w:rsidR="006C0202">
        <w:rPr>
          <w:color w:val="000000"/>
        </w:rPr>
        <w:t>ation is that when all actors are</w:t>
      </w:r>
      <w:r w:rsidR="00D168A0">
        <w:rPr>
          <w:color w:val="000000"/>
        </w:rPr>
        <w:t xml:space="preserve"> assumed to operate with the same hierarchy </w:t>
      </w:r>
      <w:r w:rsidR="005E3B9D">
        <w:rPr>
          <w:color w:val="000000"/>
        </w:rPr>
        <w:t>of preferences—</w:t>
      </w:r>
      <w:r w:rsidR="00D168A0">
        <w:rPr>
          <w:color w:val="000000"/>
        </w:rPr>
        <w:t xml:space="preserve">with </w:t>
      </w:r>
      <w:r w:rsidR="005E3B9D">
        <w:rPr>
          <w:color w:val="000000"/>
        </w:rPr>
        <w:t>materialist concerns at the top—</w:t>
      </w:r>
      <w:r w:rsidR="006C0202">
        <w:rPr>
          <w:color w:val="000000"/>
        </w:rPr>
        <w:t xml:space="preserve">decisions surrounding </w:t>
      </w:r>
      <w:r w:rsidR="00D168A0">
        <w:rPr>
          <w:color w:val="000000"/>
        </w:rPr>
        <w:t>w</w:t>
      </w:r>
      <w:r w:rsidR="00D168A0" w:rsidRPr="00A95CB9">
        <w:rPr>
          <w:color w:val="000000"/>
        </w:rPr>
        <w:t xml:space="preserve">ar and peace </w:t>
      </w:r>
      <w:r w:rsidR="006C0202">
        <w:rPr>
          <w:color w:val="000000"/>
        </w:rPr>
        <w:t>take on the form of an</w:t>
      </w:r>
      <w:r w:rsidR="00D168A0" w:rsidRPr="00A95CB9">
        <w:rPr>
          <w:color w:val="000000"/>
        </w:rPr>
        <w:t xml:space="preserve"> accounting eq</w:t>
      </w:r>
      <w:r w:rsidR="00D168A0">
        <w:rPr>
          <w:color w:val="000000"/>
        </w:rPr>
        <w:t>uation.</w:t>
      </w:r>
      <w:r w:rsidR="00D168A0">
        <w:rPr>
          <w:color w:val="000000"/>
        </w:rPr>
        <w:tab/>
      </w:r>
    </w:p>
    <w:p w:rsidR="007F66B5" w:rsidRDefault="006C0202" w:rsidP="004627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r>
      <w:r w:rsidR="00187902" w:rsidRPr="00A95CB9">
        <w:rPr>
          <w:color w:val="000000"/>
        </w:rPr>
        <w:t xml:space="preserve">The problem, however, is that </w:t>
      </w:r>
      <w:r w:rsidR="00C23365" w:rsidRPr="00A95CB9">
        <w:rPr>
          <w:color w:val="000000"/>
        </w:rPr>
        <w:t>this strategy does not work particularly</w:t>
      </w:r>
      <w:r w:rsidR="00AA22EB">
        <w:rPr>
          <w:color w:val="000000"/>
        </w:rPr>
        <w:t xml:space="preserve"> well.  </w:t>
      </w:r>
      <w:r w:rsidR="00305440" w:rsidRPr="00A95CB9">
        <w:rPr>
          <w:color w:val="000000"/>
        </w:rPr>
        <w:t>A recent survey of eight separate conflicts between the West and various regional aggressors</w:t>
      </w:r>
      <w:r w:rsidR="00675496" w:rsidRPr="00A95CB9">
        <w:rPr>
          <w:color w:val="000000"/>
        </w:rPr>
        <w:t>—including Serbia, Libya, Iraq, North Korea, and the Taliban—</w:t>
      </w:r>
      <w:r w:rsidR="00305440" w:rsidRPr="00A95CB9">
        <w:rPr>
          <w:color w:val="000000"/>
        </w:rPr>
        <w:t xml:space="preserve">found 21 separate instances where coercive diplomacy was deployed.  Of these, 12 exchanges ended in </w:t>
      </w:r>
      <w:r w:rsidR="00675496" w:rsidRPr="00A95CB9">
        <w:rPr>
          <w:color w:val="000000"/>
        </w:rPr>
        <w:t xml:space="preserve">outright </w:t>
      </w:r>
      <w:r w:rsidR="00704720" w:rsidRPr="00A95CB9">
        <w:rPr>
          <w:color w:val="000000"/>
        </w:rPr>
        <w:t>failure</w:t>
      </w:r>
      <w:r w:rsidR="00305440" w:rsidRPr="00A95CB9">
        <w:rPr>
          <w:color w:val="000000"/>
        </w:rPr>
        <w:t xml:space="preserve">, 5 resulted in temporary success followed by fresh acts of non-compliance, three resulted in lasting—albeit costly—success, and just one </w:t>
      </w:r>
      <w:r w:rsidR="00704720" w:rsidRPr="00A95CB9">
        <w:rPr>
          <w:color w:val="000000"/>
        </w:rPr>
        <w:t>resulted in “cheap success in which compliance was obtained without a shot.”</w:t>
      </w:r>
      <w:r w:rsidR="00704720" w:rsidRPr="00A95CB9">
        <w:rPr>
          <w:rStyle w:val="FootnoteReference"/>
          <w:color w:val="000000"/>
        </w:rPr>
        <w:footnoteReference w:id="4"/>
      </w:r>
      <w:r w:rsidR="00704720" w:rsidRPr="00A95CB9">
        <w:rPr>
          <w:color w:val="000000"/>
        </w:rPr>
        <w:t xml:space="preserve">  Despite all the appeals to rationality, ranging from assurances and inducements to sanctions, no-fly zones, and the occasional cruise missile attack, the most frequent outcome was a </w:t>
      </w:r>
      <w:r w:rsidR="0046278D">
        <w:rPr>
          <w:color w:val="000000"/>
        </w:rPr>
        <w:t>failure to change the opponent's</w:t>
      </w:r>
      <w:r w:rsidR="009D3A5E" w:rsidRPr="00A95CB9">
        <w:rPr>
          <w:color w:val="000000"/>
        </w:rPr>
        <w:t xml:space="preserve"> </w:t>
      </w:r>
      <w:r w:rsidR="0046278D">
        <w:rPr>
          <w:color w:val="000000"/>
        </w:rPr>
        <w:t>ways.</w:t>
      </w:r>
      <w:r w:rsidR="007F66B5">
        <w:rPr>
          <w:color w:val="000000"/>
        </w:rPr>
        <w:t xml:space="preserve">  The assumption that all actors seek to maximize their material conditions </w:t>
      </w:r>
      <w:r>
        <w:rPr>
          <w:color w:val="000000"/>
        </w:rPr>
        <w:t>cannot therefore hold true</w:t>
      </w:r>
      <w:r w:rsidR="007F66B5">
        <w:rPr>
          <w:color w:val="000000"/>
        </w:rPr>
        <w:t>.</w:t>
      </w:r>
      <w:r w:rsidR="0046278D">
        <w:rPr>
          <w:color w:val="000000"/>
        </w:rPr>
        <w:t xml:space="preserve"> </w:t>
      </w:r>
    </w:p>
    <w:p w:rsidR="00305440" w:rsidRPr="00A95CB9" w:rsidRDefault="00305440"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color w:val="000000"/>
        </w:rPr>
      </w:pPr>
    </w:p>
    <w:p w:rsidR="00305440" w:rsidRPr="00A95CB9" w:rsidRDefault="00842C58"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i/>
          <w:color w:val="000000"/>
        </w:rPr>
        <w:t>Rationalism’s Quandary</w:t>
      </w:r>
    </w:p>
    <w:p w:rsidR="00A43BB8" w:rsidRPr="00896A8D" w:rsidRDefault="00A95CB9" w:rsidP="00896A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theme="minorBidi"/>
          <w:sz w:val="20"/>
          <w:szCs w:val="20"/>
        </w:rPr>
      </w:pPr>
      <w:r>
        <w:rPr>
          <w:color w:val="000000"/>
        </w:rPr>
        <w:tab/>
      </w:r>
      <w:r w:rsidR="00A43BB8">
        <w:rPr>
          <w:color w:val="000000"/>
        </w:rPr>
        <w:t xml:space="preserve">The most obvious </w:t>
      </w:r>
      <w:r w:rsidR="007F66B5">
        <w:rPr>
          <w:color w:val="000000"/>
        </w:rPr>
        <w:t xml:space="preserve">concern with the Enlightenment's concept of material-driven </w:t>
      </w:r>
      <w:proofErr w:type="gramStart"/>
      <w:r w:rsidR="007F66B5">
        <w:rPr>
          <w:color w:val="000000"/>
        </w:rPr>
        <w:t xml:space="preserve">rationality </w:t>
      </w:r>
      <w:r w:rsidR="00A43BB8" w:rsidRPr="00822BAD">
        <w:rPr>
          <w:color w:val="000000"/>
        </w:rPr>
        <w:t xml:space="preserve"> </w:t>
      </w:r>
      <w:r w:rsidR="007F66B5">
        <w:rPr>
          <w:color w:val="000000"/>
        </w:rPr>
        <w:t>is</w:t>
      </w:r>
      <w:proofErr w:type="gramEnd"/>
      <w:r w:rsidR="007F66B5">
        <w:rPr>
          <w:color w:val="000000"/>
        </w:rPr>
        <w:t xml:space="preserve"> the fact</w:t>
      </w:r>
      <w:r w:rsidR="00A43BB8" w:rsidRPr="00822BAD">
        <w:rPr>
          <w:color w:val="000000"/>
        </w:rPr>
        <w:t xml:space="preserve"> that the human brain is not an impartial calculating machine.</w:t>
      </w:r>
      <w:r w:rsidR="00FE7388" w:rsidRPr="00822BAD">
        <w:rPr>
          <w:color w:val="000000"/>
        </w:rPr>
        <w:t xml:space="preserve">  Instead, </w:t>
      </w:r>
      <w:r w:rsidR="006C0202">
        <w:rPr>
          <w:color w:val="000000"/>
        </w:rPr>
        <w:t xml:space="preserve">its </w:t>
      </w:r>
      <w:r w:rsidR="00822BAD" w:rsidRPr="00822BAD">
        <w:rPr>
          <w:color w:val="000000"/>
        </w:rPr>
        <w:t>consider</w:t>
      </w:r>
      <w:r w:rsidR="00896A8D">
        <w:rPr>
          <w:color w:val="000000"/>
        </w:rPr>
        <w:t>ation of</w:t>
      </w:r>
      <w:r w:rsidR="00822BAD" w:rsidRPr="00822BAD">
        <w:rPr>
          <w:color w:val="000000"/>
        </w:rPr>
        <w:t xml:space="preserve"> </w:t>
      </w:r>
      <w:r w:rsidR="00FE7388" w:rsidRPr="00822BAD">
        <w:rPr>
          <w:color w:val="000000"/>
        </w:rPr>
        <w:t xml:space="preserve">prospective costs and benefits </w:t>
      </w:r>
      <w:r w:rsidR="00896A8D">
        <w:rPr>
          <w:color w:val="000000"/>
        </w:rPr>
        <w:t xml:space="preserve">appears to be biased </w:t>
      </w:r>
      <w:r w:rsidR="00822BAD" w:rsidRPr="00822BAD">
        <w:rPr>
          <w:color w:val="000000"/>
        </w:rPr>
        <w:t>in systematic</w:t>
      </w:r>
      <w:r w:rsidR="00842C58" w:rsidRPr="00822BAD">
        <w:rPr>
          <w:color w:val="000000"/>
        </w:rPr>
        <w:t xml:space="preserve"> </w:t>
      </w:r>
      <w:r w:rsidR="00FE7388" w:rsidRPr="00822BAD">
        <w:rPr>
          <w:color w:val="000000"/>
        </w:rPr>
        <w:t xml:space="preserve">ways.  </w:t>
      </w:r>
      <w:r w:rsidR="00D575C2" w:rsidRPr="00822BAD">
        <w:rPr>
          <w:color w:val="000000"/>
        </w:rPr>
        <w:t>When considering historical evidence</w:t>
      </w:r>
      <w:r w:rsidR="00FE7388" w:rsidRPr="00822BAD">
        <w:rPr>
          <w:color w:val="000000"/>
        </w:rPr>
        <w:t xml:space="preserve">, for example, </w:t>
      </w:r>
      <w:proofErr w:type="spellStart"/>
      <w:r w:rsidR="00D575C2" w:rsidRPr="00822BAD">
        <w:rPr>
          <w:color w:val="000000"/>
        </w:rPr>
        <w:t>decisionmakers</w:t>
      </w:r>
      <w:proofErr w:type="spellEnd"/>
      <w:r w:rsidR="00D575C2" w:rsidRPr="00822BAD">
        <w:rPr>
          <w:color w:val="000000"/>
        </w:rPr>
        <w:t xml:space="preserve"> </w:t>
      </w:r>
      <w:r w:rsidR="00822BAD" w:rsidRPr="00822BAD">
        <w:rPr>
          <w:color w:val="000000"/>
        </w:rPr>
        <w:t>search not so much for the reasons why a particular even occurred, but</w:t>
      </w:r>
      <w:r w:rsidR="00822BAD">
        <w:rPr>
          <w:color w:val="000000"/>
        </w:rPr>
        <w:t xml:space="preserve"> rather</w:t>
      </w:r>
      <w:r w:rsidR="00822BAD" w:rsidRPr="00822BAD">
        <w:rPr>
          <w:color w:val="000000"/>
        </w:rPr>
        <w:t xml:space="preserve"> </w:t>
      </w:r>
      <w:r w:rsidR="00822BAD">
        <w:rPr>
          <w:color w:val="000000"/>
        </w:rPr>
        <w:t>focus their attention</w:t>
      </w:r>
      <w:r w:rsidR="00822BAD" w:rsidRPr="00822BAD">
        <w:rPr>
          <w:color w:val="000000"/>
        </w:rPr>
        <w:t xml:space="preserve"> </w:t>
      </w:r>
      <w:r w:rsidR="00822BAD">
        <w:rPr>
          <w:color w:val="000000"/>
        </w:rPr>
        <w:t>on</w:t>
      </w:r>
      <w:r w:rsidR="00822BAD" w:rsidRPr="00822BAD">
        <w:rPr>
          <w:color w:val="000000"/>
        </w:rPr>
        <w:t xml:space="preserve"> the events themselves</w:t>
      </w:r>
      <w:r w:rsidR="00822BAD">
        <w:rPr>
          <w:color w:val="000000"/>
        </w:rPr>
        <w:t xml:space="preserve">.  </w:t>
      </w:r>
      <w:r w:rsidR="00896A8D">
        <w:rPr>
          <w:color w:val="000000"/>
        </w:rPr>
        <w:t xml:space="preserve">In what is known as </w:t>
      </w:r>
      <w:r w:rsidR="00896A8D" w:rsidRPr="00822BAD">
        <w:rPr>
          <w:color w:val="000000"/>
        </w:rPr>
        <w:t>'confirmation bias'</w:t>
      </w:r>
      <w:r w:rsidR="006C0202">
        <w:rPr>
          <w:color w:val="000000"/>
        </w:rPr>
        <w:t>,</w:t>
      </w:r>
      <w:r w:rsidR="00896A8D">
        <w:rPr>
          <w:color w:val="000000"/>
        </w:rPr>
        <w:t xml:space="preserve"> this effort is pursued in order to </w:t>
      </w:r>
      <w:r w:rsidR="00822BAD">
        <w:rPr>
          <w:color w:val="000000"/>
        </w:rPr>
        <w:t>marshal information amendable to the</w:t>
      </w:r>
      <w:r w:rsidR="00822BAD" w:rsidRPr="00822BAD">
        <w:rPr>
          <w:color w:val="000000"/>
        </w:rPr>
        <w:t xml:space="preserve"> </w:t>
      </w:r>
      <w:r w:rsidR="00822BAD">
        <w:rPr>
          <w:color w:val="000000"/>
        </w:rPr>
        <w:t xml:space="preserve">confirmation of existing </w:t>
      </w:r>
      <w:r w:rsidR="00822BAD" w:rsidRPr="00822BAD">
        <w:rPr>
          <w:color w:val="000000"/>
        </w:rPr>
        <w:t>predispositions</w:t>
      </w:r>
      <w:r w:rsidR="00822BAD">
        <w:rPr>
          <w:color w:val="000000"/>
        </w:rPr>
        <w:t>.</w:t>
      </w:r>
      <w:r w:rsidR="00FE7388" w:rsidRPr="00822BAD">
        <w:rPr>
          <w:rStyle w:val="FootnoteReference"/>
          <w:color w:val="000000"/>
        </w:rPr>
        <w:footnoteReference w:id="5"/>
      </w:r>
      <w:r w:rsidR="00822BAD">
        <w:rPr>
          <w:color w:val="000000"/>
        </w:rPr>
        <w:t xml:space="preserve"> </w:t>
      </w:r>
      <w:r w:rsidR="00896A8D">
        <w:rPr>
          <w:color w:val="000000"/>
        </w:rPr>
        <w:t xml:space="preserve"> In other words, </w:t>
      </w:r>
      <w:r w:rsidR="00822BAD">
        <w:rPr>
          <w:color w:val="000000"/>
        </w:rPr>
        <w:t xml:space="preserve">policymakers will generally stick to evidence the supports </w:t>
      </w:r>
      <w:r w:rsidR="00896A8D">
        <w:rPr>
          <w:color w:val="000000"/>
        </w:rPr>
        <w:t xml:space="preserve">their </w:t>
      </w:r>
      <w:proofErr w:type="gramStart"/>
      <w:r w:rsidR="00822BAD">
        <w:rPr>
          <w:color w:val="000000"/>
        </w:rPr>
        <w:t>previously-held</w:t>
      </w:r>
      <w:proofErr w:type="gramEnd"/>
      <w:r w:rsidR="00822BAD">
        <w:rPr>
          <w:color w:val="000000"/>
        </w:rPr>
        <w:t xml:space="preserve"> </w:t>
      </w:r>
      <w:r w:rsidR="00AF5FEC" w:rsidRPr="00822BAD">
        <w:rPr>
          <w:color w:val="000000"/>
        </w:rPr>
        <w:t>opinions</w:t>
      </w:r>
      <w:r w:rsidR="00896A8D">
        <w:rPr>
          <w:color w:val="000000"/>
        </w:rPr>
        <w:t>.</w:t>
      </w:r>
      <w:r w:rsidR="00896A8D" w:rsidRPr="00822BAD">
        <w:rPr>
          <w:rStyle w:val="FootnoteReference"/>
          <w:color w:val="000000"/>
        </w:rPr>
        <w:footnoteReference w:id="6"/>
      </w:r>
      <w:r w:rsidR="00896A8D">
        <w:rPr>
          <w:color w:val="000000"/>
        </w:rPr>
        <w:t xml:space="preserve">  Related is the problem of ‘cognitive dissonance,’ including the tendency to</w:t>
      </w:r>
      <w:r w:rsidR="00AF5FEC" w:rsidRPr="00822BAD">
        <w:rPr>
          <w:rFonts w:eastAsiaTheme="minorHAnsi" w:cstheme="minorBidi"/>
          <w:szCs w:val="20"/>
        </w:rPr>
        <w:t xml:space="preserve"> </w:t>
      </w:r>
      <w:r w:rsidR="00896A8D">
        <w:rPr>
          <w:rFonts w:eastAsiaTheme="minorHAnsi" w:cstheme="minorBidi"/>
          <w:szCs w:val="20"/>
        </w:rPr>
        <w:t xml:space="preserve">exaggerate the </w:t>
      </w:r>
      <w:r w:rsidR="00AF5FEC" w:rsidRPr="00822BAD">
        <w:rPr>
          <w:rFonts w:eastAsiaTheme="minorHAnsi" w:cstheme="minorBidi"/>
          <w:szCs w:val="20"/>
        </w:rPr>
        <w:t>potential ben</w:t>
      </w:r>
      <w:r w:rsidR="00896A8D">
        <w:rPr>
          <w:rFonts w:eastAsiaTheme="minorHAnsi" w:cstheme="minorBidi"/>
          <w:szCs w:val="20"/>
        </w:rPr>
        <w:t>efits offered by certain</w:t>
      </w:r>
      <w:r w:rsidR="007F66B5">
        <w:rPr>
          <w:rFonts w:eastAsiaTheme="minorHAnsi" w:cstheme="minorBidi"/>
          <w:szCs w:val="20"/>
        </w:rPr>
        <w:t xml:space="preserve">, </w:t>
      </w:r>
      <w:proofErr w:type="gramStart"/>
      <w:r w:rsidR="007F66B5">
        <w:rPr>
          <w:rFonts w:eastAsiaTheme="minorHAnsi" w:cstheme="minorBidi"/>
          <w:szCs w:val="20"/>
        </w:rPr>
        <w:t>previously-favoured</w:t>
      </w:r>
      <w:proofErr w:type="gramEnd"/>
      <w:r w:rsidR="00896A8D">
        <w:rPr>
          <w:rFonts w:eastAsiaTheme="minorHAnsi" w:cstheme="minorBidi"/>
          <w:szCs w:val="20"/>
        </w:rPr>
        <w:t xml:space="preserve"> alternatives.</w:t>
      </w:r>
      <w:r w:rsidR="00896A8D">
        <w:rPr>
          <w:rStyle w:val="FootnoteReference"/>
          <w:rFonts w:eastAsiaTheme="minorHAnsi" w:cstheme="minorBidi"/>
          <w:szCs w:val="20"/>
        </w:rPr>
        <w:footnoteReference w:id="7"/>
      </w:r>
      <w:r w:rsidR="00896A8D">
        <w:rPr>
          <w:rFonts w:eastAsiaTheme="minorHAnsi" w:cstheme="minorBidi"/>
          <w:szCs w:val="20"/>
        </w:rPr>
        <w:t xml:space="preserve">  Misperception is similarly problematic, given that is common </w:t>
      </w:r>
      <w:r w:rsidR="007F66B5">
        <w:rPr>
          <w:rFonts w:eastAsiaTheme="minorHAnsi" w:cstheme="minorBidi"/>
          <w:szCs w:val="20"/>
        </w:rPr>
        <w:t xml:space="preserve">for decision makers </w:t>
      </w:r>
      <w:r w:rsidR="00896A8D">
        <w:rPr>
          <w:rFonts w:eastAsiaTheme="minorHAnsi" w:cstheme="minorBidi"/>
          <w:szCs w:val="20"/>
        </w:rPr>
        <w:t>to draw inaccurate inferences, particularly regarding potential consequences and the reactions of others.</w:t>
      </w:r>
      <w:r w:rsidR="00896A8D">
        <w:rPr>
          <w:rStyle w:val="FootnoteReference"/>
          <w:rFonts w:eastAsiaTheme="minorHAnsi" w:cstheme="minorBidi"/>
          <w:szCs w:val="20"/>
        </w:rPr>
        <w:footnoteReference w:id="8"/>
      </w:r>
      <w:r w:rsidR="00896A8D">
        <w:rPr>
          <w:rFonts w:eastAsiaTheme="minorHAnsi" w:cstheme="minorBidi"/>
          <w:szCs w:val="20"/>
        </w:rPr>
        <w:t xml:space="preserve">  Pure rationalism is therefore an abstraction, </w:t>
      </w:r>
      <w:r w:rsidR="00CE79B9">
        <w:rPr>
          <w:rFonts w:eastAsiaTheme="minorHAnsi" w:cstheme="minorBidi"/>
          <w:szCs w:val="20"/>
        </w:rPr>
        <w:t xml:space="preserve">something </w:t>
      </w:r>
      <w:r w:rsidR="00896A8D">
        <w:rPr>
          <w:rFonts w:eastAsiaTheme="minorHAnsi" w:cstheme="minorBidi"/>
          <w:szCs w:val="20"/>
        </w:rPr>
        <w:t>impossible to achieve when the brain is hardwired to compute in such biased ways.</w:t>
      </w:r>
    </w:p>
    <w:p w:rsidR="00FE7388" w:rsidRPr="00AA4348" w:rsidRDefault="00896A8D" w:rsidP="00CE79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t xml:space="preserve">This computation is limited in structural ways as well.  Foremost is the fact that for all its incredible complexity, the brain still faces limits to its computing power.  </w:t>
      </w:r>
      <w:r w:rsidR="00CE79B9">
        <w:rPr>
          <w:color w:val="000000"/>
        </w:rPr>
        <w:t xml:space="preserve">As with any other calculating machine, the brain’s memory is neither endless nor its processing power unlimited.  These cognitive constraints make it impossible to deal with an inherently complicated world through perfectly rational means.  Instead, humans overcome this overload of information and intricacy with </w:t>
      </w:r>
      <w:r w:rsidR="007F66B5">
        <w:rPr>
          <w:color w:val="000000"/>
        </w:rPr>
        <w:t>shorthand rules to make</w:t>
      </w:r>
      <w:r w:rsidR="00CE79B9">
        <w:rPr>
          <w:color w:val="000000"/>
        </w:rPr>
        <w:t xml:space="preserve"> the process of </w:t>
      </w:r>
      <w:proofErr w:type="spellStart"/>
      <w:r w:rsidR="00CE79B9">
        <w:rPr>
          <w:color w:val="000000"/>
        </w:rPr>
        <w:t>decisionmaking</w:t>
      </w:r>
      <w:proofErr w:type="spellEnd"/>
      <w:r w:rsidR="00CE79B9">
        <w:rPr>
          <w:color w:val="000000"/>
        </w:rPr>
        <w:t xml:space="preserve"> </w:t>
      </w:r>
      <w:r w:rsidR="007F66B5">
        <w:rPr>
          <w:color w:val="000000"/>
        </w:rPr>
        <w:t xml:space="preserve">more </w:t>
      </w:r>
      <w:r w:rsidR="00CE79B9">
        <w:rPr>
          <w:color w:val="000000"/>
        </w:rPr>
        <w:t>manageable.</w:t>
      </w:r>
      <w:r w:rsidR="00CE79B9">
        <w:rPr>
          <w:rStyle w:val="FootnoteReference"/>
          <w:color w:val="000000"/>
        </w:rPr>
        <w:footnoteReference w:id="9"/>
      </w:r>
      <w:r w:rsidR="007F66B5">
        <w:rPr>
          <w:color w:val="000000"/>
        </w:rPr>
        <w:t xml:space="preserve">  Thus r</w:t>
      </w:r>
      <w:r w:rsidR="00CE79B9">
        <w:rPr>
          <w:color w:val="000000"/>
        </w:rPr>
        <w:t>ather than systematically considering all alternatives and rationally weighing the potential costs and benefits</w:t>
      </w:r>
      <w:r w:rsidR="006C0202">
        <w:rPr>
          <w:color w:val="000000"/>
        </w:rPr>
        <w:t xml:space="preserve"> involved</w:t>
      </w:r>
      <w:r w:rsidR="00CE79B9">
        <w:rPr>
          <w:color w:val="000000"/>
        </w:rPr>
        <w:t xml:space="preserve">, decisions are often made at the behest of various ‘rules of thumb’ and ‘gut instinct.’  Moreover, the information used to make these instinctual choices may itself be vague, incorrect, or even out of reach of those who need it.  After all, </w:t>
      </w:r>
      <w:r w:rsidR="00DD0F99">
        <w:rPr>
          <w:color w:val="000000"/>
        </w:rPr>
        <w:t xml:space="preserve">secrecy </w:t>
      </w:r>
      <w:r w:rsidR="00DD0F99" w:rsidRPr="00AA4348">
        <w:rPr>
          <w:color w:val="000000"/>
        </w:rPr>
        <w:t xml:space="preserve">tends to cloud </w:t>
      </w:r>
      <w:r w:rsidR="00B65EE4">
        <w:rPr>
          <w:color w:val="000000"/>
        </w:rPr>
        <w:t>the matters of politics and war</w:t>
      </w:r>
      <w:r w:rsidR="00DD0F99" w:rsidRPr="00AA4348">
        <w:rPr>
          <w:color w:val="000000"/>
        </w:rPr>
        <w:t>.</w:t>
      </w:r>
      <w:r w:rsidR="00B65EE4">
        <w:rPr>
          <w:color w:val="000000"/>
        </w:rPr>
        <w:t xml:space="preserve">  Here information is private</w:t>
      </w:r>
      <w:r w:rsidR="00CE79B9" w:rsidRPr="00AA4348">
        <w:rPr>
          <w:color w:val="000000"/>
        </w:rPr>
        <w:t xml:space="preserve"> </w:t>
      </w:r>
      <w:r w:rsidR="00B65EE4">
        <w:rPr>
          <w:color w:val="000000"/>
        </w:rPr>
        <w:t xml:space="preserve">and there are obvious incentives to </w:t>
      </w:r>
      <w:r w:rsidR="00D3121A" w:rsidRPr="006B353B">
        <w:rPr>
          <w:color w:val="000000"/>
        </w:rPr>
        <w:t xml:space="preserve">misrepresent </w:t>
      </w:r>
      <w:r w:rsidR="007F66B5">
        <w:rPr>
          <w:color w:val="000000"/>
        </w:rPr>
        <w:t>the truth</w:t>
      </w:r>
      <w:r w:rsidR="00D3121A" w:rsidRPr="006B353B">
        <w:rPr>
          <w:color w:val="000000"/>
        </w:rPr>
        <w:t>.</w:t>
      </w:r>
      <w:r w:rsidR="00D3121A">
        <w:rPr>
          <w:rStyle w:val="FootnoteReference"/>
          <w:color w:val="000000"/>
        </w:rPr>
        <w:footnoteReference w:id="10"/>
      </w:r>
      <w:r w:rsidR="00D3121A">
        <w:rPr>
          <w:color w:val="000000"/>
        </w:rPr>
        <w:t xml:space="preserve">  </w:t>
      </w:r>
      <w:r w:rsidR="00CE79B9" w:rsidRPr="00AA4348">
        <w:rPr>
          <w:color w:val="000000"/>
        </w:rPr>
        <w:t>Perhaps worst of all are periods of crisis, where there is usually little time to rationally po</w:t>
      </w:r>
      <w:r w:rsidR="007F66B5">
        <w:rPr>
          <w:color w:val="000000"/>
        </w:rPr>
        <w:t>nder what evidence is available</w:t>
      </w:r>
      <w:r w:rsidR="0045752E" w:rsidRPr="00AA4348">
        <w:rPr>
          <w:color w:val="000000"/>
        </w:rPr>
        <w:t>.</w:t>
      </w:r>
      <w:r w:rsidR="00CE79B9" w:rsidRPr="00AA4348">
        <w:rPr>
          <w:rStyle w:val="FootnoteReference"/>
          <w:color w:val="000000"/>
        </w:rPr>
        <w:footnoteReference w:id="11"/>
      </w:r>
      <w:r w:rsidR="007F66B5">
        <w:rPr>
          <w:color w:val="000000"/>
        </w:rPr>
        <w:t xml:space="preserve">  When the enemy is at the gates, time is usually of the essence.  </w:t>
      </w:r>
      <w:r w:rsidR="00CE79B9" w:rsidRPr="00AA4348">
        <w:rPr>
          <w:color w:val="000000"/>
        </w:rPr>
        <w:t xml:space="preserve">  </w:t>
      </w:r>
    </w:p>
    <w:p w:rsidR="00AA4348" w:rsidRPr="00AA4348" w:rsidRDefault="00AA4348"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eastAsiaTheme="minorHAnsi" w:cstheme="minorBidi"/>
          <w:szCs w:val="20"/>
        </w:rPr>
      </w:pPr>
      <w:r w:rsidRPr="00AA4348">
        <w:rPr>
          <w:color w:val="000000"/>
        </w:rPr>
        <w:tab/>
      </w:r>
      <w:r w:rsidR="00AF5FEC" w:rsidRPr="00AA4348">
        <w:rPr>
          <w:color w:val="000000"/>
        </w:rPr>
        <w:t xml:space="preserve">The </w:t>
      </w:r>
      <w:r w:rsidRPr="00AA4348">
        <w:rPr>
          <w:color w:val="000000"/>
        </w:rPr>
        <w:t>consequence of these cognitive failings is that it is very hard to</w:t>
      </w:r>
      <w:r>
        <w:rPr>
          <w:color w:val="000000"/>
        </w:rPr>
        <w:t xml:space="preserve"> </w:t>
      </w:r>
      <w:r w:rsidRPr="00AA4348">
        <w:rPr>
          <w:color w:val="000000"/>
        </w:rPr>
        <w:t>anticipate outcomes</w:t>
      </w:r>
      <w:r w:rsidR="00D3121A">
        <w:rPr>
          <w:color w:val="000000"/>
        </w:rPr>
        <w:t xml:space="preserve"> with the precision </w:t>
      </w:r>
      <w:r w:rsidR="00B65EE4">
        <w:rPr>
          <w:color w:val="000000"/>
        </w:rPr>
        <w:t xml:space="preserve">that </w:t>
      </w:r>
      <w:r w:rsidR="00D3121A">
        <w:rPr>
          <w:color w:val="000000"/>
        </w:rPr>
        <w:t>the rational idea</w:t>
      </w:r>
      <w:r w:rsidR="00B65EE4">
        <w:rPr>
          <w:color w:val="000000"/>
        </w:rPr>
        <w:t>l</w:t>
      </w:r>
      <w:r w:rsidR="00D3121A">
        <w:rPr>
          <w:color w:val="000000"/>
        </w:rPr>
        <w:t xml:space="preserve"> suggest</w:t>
      </w:r>
      <w:r w:rsidR="00B65EE4">
        <w:rPr>
          <w:color w:val="000000"/>
        </w:rPr>
        <w:t>s</w:t>
      </w:r>
      <w:r w:rsidRPr="00AA4348">
        <w:rPr>
          <w:color w:val="000000"/>
        </w:rPr>
        <w:t>.</w:t>
      </w:r>
      <w:r w:rsidR="00B65EE4">
        <w:rPr>
          <w:color w:val="000000"/>
        </w:rPr>
        <w:t xml:space="preserve">  Indeed, w</w:t>
      </w:r>
      <w:r>
        <w:rPr>
          <w:color w:val="000000"/>
        </w:rPr>
        <w:t>hen costs and benefits are incorrectly</w:t>
      </w:r>
      <w:r w:rsidR="00DA5896">
        <w:rPr>
          <w:color w:val="000000"/>
        </w:rPr>
        <w:t xml:space="preserve"> weighted, the result</w:t>
      </w:r>
      <w:r>
        <w:rPr>
          <w:color w:val="000000"/>
        </w:rPr>
        <w:t xml:space="preserve"> a policy achieves almost invariably diverges from expectation.  Military history, for example, is replete with examples where comba</w:t>
      </w:r>
      <w:r w:rsidR="007F66B5">
        <w:rPr>
          <w:color w:val="000000"/>
        </w:rPr>
        <w:t>t capabilities were either over</w:t>
      </w:r>
      <w:r w:rsidR="006C0202">
        <w:rPr>
          <w:color w:val="000000"/>
        </w:rPr>
        <w:t>-</w:t>
      </w:r>
      <w:r>
        <w:rPr>
          <w:color w:val="000000"/>
        </w:rPr>
        <w:t xml:space="preserve"> or under</w:t>
      </w:r>
      <w:r w:rsidR="006C0202">
        <w:rPr>
          <w:color w:val="000000"/>
        </w:rPr>
        <w:t>-</w:t>
      </w:r>
      <w:r>
        <w:rPr>
          <w:color w:val="000000"/>
        </w:rPr>
        <w:t xml:space="preserve">estimated, leading to </w:t>
      </w:r>
      <w:r w:rsidR="00D3121A">
        <w:rPr>
          <w:color w:val="000000"/>
        </w:rPr>
        <w:t>calamitous</w:t>
      </w:r>
      <w:r>
        <w:rPr>
          <w:color w:val="000000"/>
        </w:rPr>
        <w:t xml:space="preserve"> results.</w:t>
      </w:r>
      <w:r>
        <w:rPr>
          <w:rStyle w:val="FootnoteReference"/>
          <w:color w:val="000000"/>
        </w:rPr>
        <w:footnoteReference w:id="12"/>
      </w:r>
      <w:r w:rsidRPr="00AA4348">
        <w:rPr>
          <w:color w:val="000000"/>
        </w:rPr>
        <w:t xml:space="preserve"> </w:t>
      </w:r>
      <w:r>
        <w:rPr>
          <w:color w:val="000000"/>
        </w:rPr>
        <w:t xml:space="preserve"> The Great War’s deadlock of early 1915 and the failed German march on Moscow in 1941—outcomes both generally unforeseen by the proponents who put these war plans into practice—put paid to the notion that policymakers can calmly and correctly calculate the costs and benefits associated with military action.  </w:t>
      </w:r>
      <w:r w:rsidRPr="00AA4348">
        <w:rPr>
          <w:color w:val="000000"/>
        </w:rPr>
        <w:t xml:space="preserve"> </w:t>
      </w:r>
      <w:r w:rsidR="00AF5FEC" w:rsidRPr="00AA4348">
        <w:rPr>
          <w:color w:val="000000"/>
        </w:rPr>
        <w:t xml:space="preserve"> </w:t>
      </w:r>
    </w:p>
    <w:p w:rsidR="00CC6ECB" w:rsidRPr="00DB4C55" w:rsidRDefault="00AA4348" w:rsidP="004A62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r>
      <w:r w:rsidR="00B65EE4">
        <w:rPr>
          <w:color w:val="000000"/>
        </w:rPr>
        <w:t>Such</w:t>
      </w:r>
      <w:r w:rsidRPr="00A95CB9">
        <w:rPr>
          <w:color w:val="000000"/>
        </w:rPr>
        <w:t xml:space="preserve"> limitations </w:t>
      </w:r>
      <w:r w:rsidR="00B65EE4">
        <w:rPr>
          <w:color w:val="000000"/>
        </w:rPr>
        <w:t xml:space="preserve">are </w:t>
      </w:r>
      <w:r w:rsidRPr="00A95CB9">
        <w:rPr>
          <w:color w:val="000000"/>
        </w:rPr>
        <w:t xml:space="preserve">the reason why </w:t>
      </w:r>
      <w:r w:rsidR="007F66B5">
        <w:rPr>
          <w:color w:val="000000"/>
        </w:rPr>
        <w:t xml:space="preserve">some </w:t>
      </w:r>
      <w:r w:rsidRPr="00A95CB9">
        <w:rPr>
          <w:color w:val="000000"/>
        </w:rPr>
        <w:t>proponents of rational choice</w:t>
      </w:r>
      <w:r w:rsidR="00B65EE4">
        <w:rPr>
          <w:color w:val="000000"/>
        </w:rPr>
        <w:t xml:space="preserve"> theories</w:t>
      </w:r>
      <w:r w:rsidRPr="00A95CB9">
        <w:rPr>
          <w:color w:val="000000"/>
        </w:rPr>
        <w:t xml:space="preserve"> </w:t>
      </w:r>
      <w:r w:rsidR="00B65EE4">
        <w:rPr>
          <w:color w:val="000000"/>
        </w:rPr>
        <w:t xml:space="preserve">have in recent years </w:t>
      </w:r>
      <w:r w:rsidRPr="00A95CB9">
        <w:rPr>
          <w:color w:val="000000"/>
        </w:rPr>
        <w:t>advocate</w:t>
      </w:r>
      <w:r w:rsidR="00B65EE4">
        <w:rPr>
          <w:color w:val="000000"/>
        </w:rPr>
        <w:t xml:space="preserve">d a move away from models predicated on ‘procedural’ rationality, where the assumption is that policymakers carefully consider all alternatives, to one more </w:t>
      </w:r>
      <w:r w:rsidRPr="00A95CB9">
        <w:rPr>
          <w:color w:val="000000"/>
        </w:rPr>
        <w:t xml:space="preserve">‘instrumental’ </w:t>
      </w:r>
      <w:r w:rsidR="00B65EE4">
        <w:rPr>
          <w:color w:val="000000"/>
        </w:rPr>
        <w:t>in nature.</w:t>
      </w:r>
      <w:r w:rsidR="00B65EE4">
        <w:rPr>
          <w:rStyle w:val="FootnoteReference"/>
          <w:color w:val="000000"/>
        </w:rPr>
        <w:footnoteReference w:id="13"/>
      </w:r>
      <w:r w:rsidR="00B65EE4">
        <w:rPr>
          <w:color w:val="000000"/>
        </w:rPr>
        <w:t xml:space="preserve">  </w:t>
      </w:r>
      <w:r w:rsidR="00274F95">
        <w:rPr>
          <w:color w:val="000000"/>
        </w:rPr>
        <w:t>With this the assumption of rationality ha</w:t>
      </w:r>
      <w:r w:rsidR="00B65EE4">
        <w:rPr>
          <w:color w:val="000000"/>
        </w:rPr>
        <w:t>s</w:t>
      </w:r>
      <w:r w:rsidR="00274F95">
        <w:rPr>
          <w:color w:val="000000"/>
        </w:rPr>
        <w:t xml:space="preserve"> been relaxed, holding</w:t>
      </w:r>
      <w:r w:rsidR="00B65EE4">
        <w:rPr>
          <w:color w:val="000000"/>
        </w:rPr>
        <w:t xml:space="preserve"> that while an ordering of alternatives will be made based on </w:t>
      </w:r>
      <w:r w:rsidR="007F66B5">
        <w:rPr>
          <w:color w:val="000000"/>
        </w:rPr>
        <w:t>prospective costs and benefits—with</w:t>
      </w:r>
      <w:r w:rsidR="00B65EE4">
        <w:rPr>
          <w:color w:val="000000"/>
        </w:rPr>
        <w:t xml:space="preserve"> the one with the </w:t>
      </w:r>
      <w:r w:rsidR="00B65EE4" w:rsidRPr="001F57A0">
        <w:rPr>
          <w:color w:val="000000"/>
        </w:rPr>
        <w:t>highest</w:t>
      </w:r>
      <w:r w:rsidR="00B65EE4">
        <w:rPr>
          <w:color w:val="000000"/>
        </w:rPr>
        <w:t xml:space="preserve"> likely yield</w:t>
      </w:r>
      <w:r w:rsidR="00B65EE4" w:rsidRPr="001F57A0">
        <w:rPr>
          <w:color w:val="000000"/>
        </w:rPr>
        <w:t xml:space="preserve"> </w:t>
      </w:r>
      <w:r w:rsidR="007F66B5">
        <w:rPr>
          <w:color w:val="000000"/>
        </w:rPr>
        <w:t>selected—i</w:t>
      </w:r>
      <w:r w:rsidR="00B65EE4">
        <w:rPr>
          <w:color w:val="000000"/>
        </w:rPr>
        <w:t>t is</w:t>
      </w:r>
      <w:r w:rsidR="007F66B5">
        <w:rPr>
          <w:color w:val="000000"/>
        </w:rPr>
        <w:t xml:space="preserve"> nonetheless</w:t>
      </w:r>
      <w:r w:rsidR="00B65EE4">
        <w:rPr>
          <w:color w:val="000000"/>
        </w:rPr>
        <w:t xml:space="preserve"> recognized that this list will be</w:t>
      </w:r>
      <w:r w:rsidR="007F66B5">
        <w:rPr>
          <w:color w:val="000000"/>
        </w:rPr>
        <w:t xml:space="preserve"> </w:t>
      </w:r>
      <w:r w:rsidR="00274F95" w:rsidRPr="00A01FAE">
        <w:rPr>
          <w:color w:val="000000"/>
        </w:rPr>
        <w:t>relatively limited and confronted by the tyranny of imperfect</w:t>
      </w:r>
      <w:r w:rsidR="00465546">
        <w:rPr>
          <w:color w:val="000000"/>
        </w:rPr>
        <w:t xml:space="preserve"> information.  </w:t>
      </w:r>
      <w:r w:rsidR="006C0202">
        <w:rPr>
          <w:color w:val="000000"/>
        </w:rPr>
        <w:t>And y</w:t>
      </w:r>
      <w:r w:rsidR="004A6276" w:rsidRPr="00A01FAE">
        <w:rPr>
          <w:color w:val="000000"/>
        </w:rPr>
        <w:t>et</w:t>
      </w:r>
      <w:r w:rsidR="00274F95" w:rsidRPr="00A01FAE">
        <w:rPr>
          <w:color w:val="000000"/>
        </w:rPr>
        <w:t xml:space="preserve"> the </w:t>
      </w:r>
      <w:r w:rsidR="00B65EE4" w:rsidRPr="00A01FAE">
        <w:rPr>
          <w:color w:val="000000"/>
        </w:rPr>
        <w:t>core idea of rationality</w:t>
      </w:r>
      <w:r w:rsidR="00274F95" w:rsidRPr="00A01FAE">
        <w:rPr>
          <w:color w:val="000000"/>
        </w:rPr>
        <w:t xml:space="preserve"> has not been abandoned.  Instead, it</w:t>
      </w:r>
      <w:r w:rsidR="00B65EE4" w:rsidRPr="00A01FAE">
        <w:rPr>
          <w:color w:val="000000"/>
        </w:rPr>
        <w:t xml:space="preserve"> is maintained </w:t>
      </w:r>
      <w:r w:rsidR="00274F95" w:rsidRPr="00A01FAE">
        <w:rPr>
          <w:color w:val="000000"/>
        </w:rPr>
        <w:t>by the conclusion that</w:t>
      </w:r>
      <w:r w:rsidR="00B65EE4" w:rsidRPr="00A01FAE">
        <w:rPr>
          <w:color w:val="000000"/>
        </w:rPr>
        <w:t xml:space="preserve"> while humans may not be perfectly rational actors, they do make rational </w:t>
      </w:r>
      <w:r w:rsidR="00B65EE4" w:rsidRPr="00A01FAE">
        <w:rPr>
          <w:i/>
          <w:color w:val="000000"/>
        </w:rPr>
        <w:t>choices</w:t>
      </w:r>
      <w:r w:rsidR="00B65EE4" w:rsidRPr="00A01FAE">
        <w:rPr>
          <w:color w:val="000000"/>
        </w:rPr>
        <w:t xml:space="preserve">.  </w:t>
      </w:r>
      <w:r w:rsidR="00274F95" w:rsidRPr="00A01FAE">
        <w:rPr>
          <w:color w:val="000000"/>
        </w:rPr>
        <w:t>Though limited in their ability to weigh costs and benefits with precision, h</w:t>
      </w:r>
      <w:r w:rsidR="00B65EE4" w:rsidRPr="00A01FAE">
        <w:rPr>
          <w:color w:val="000000"/>
        </w:rPr>
        <w:t>umans are nonetheless purposeful in their behavio</w:t>
      </w:r>
      <w:r w:rsidRPr="00A01FAE">
        <w:rPr>
          <w:color w:val="000000"/>
        </w:rPr>
        <w:t>u</w:t>
      </w:r>
      <w:r w:rsidR="00B65EE4" w:rsidRPr="00A01FAE">
        <w:rPr>
          <w:color w:val="000000"/>
        </w:rPr>
        <w:t>r</w:t>
      </w:r>
      <w:r w:rsidR="00177FF4">
        <w:rPr>
          <w:color w:val="000000"/>
        </w:rPr>
        <w:t xml:space="preserve">.  </w:t>
      </w:r>
      <w:r w:rsidR="004A6276" w:rsidRPr="00A01FAE">
        <w:rPr>
          <w:color w:val="000000"/>
        </w:rPr>
        <w:t xml:space="preserve">After all, </w:t>
      </w:r>
      <w:r w:rsidR="006C0202">
        <w:rPr>
          <w:color w:val="000000"/>
        </w:rPr>
        <w:t xml:space="preserve">while </w:t>
      </w:r>
      <w:r w:rsidR="004A6276" w:rsidRPr="00A01FAE">
        <w:rPr>
          <w:color w:val="000000"/>
        </w:rPr>
        <w:t xml:space="preserve">the actions of Hitler and </w:t>
      </w:r>
      <w:r w:rsidR="00274F95" w:rsidRPr="00A01FAE">
        <w:rPr>
          <w:color w:val="000000"/>
        </w:rPr>
        <w:t>Khomeini</w:t>
      </w:r>
      <w:r w:rsidR="004A6276" w:rsidRPr="00A01FAE">
        <w:rPr>
          <w:color w:val="000000"/>
        </w:rPr>
        <w:t xml:space="preserve"> may </w:t>
      </w:r>
      <w:r w:rsidR="00B9526E">
        <w:rPr>
          <w:color w:val="000000"/>
        </w:rPr>
        <w:t xml:space="preserve">have </w:t>
      </w:r>
      <w:r w:rsidR="004A6276" w:rsidRPr="00A01FAE">
        <w:rPr>
          <w:color w:val="000000"/>
        </w:rPr>
        <w:t>be</w:t>
      </w:r>
      <w:r w:rsidR="00594956">
        <w:rPr>
          <w:color w:val="000000"/>
        </w:rPr>
        <w:t>en</w:t>
      </w:r>
      <w:r w:rsidR="004A6276" w:rsidRPr="00A01FAE">
        <w:rPr>
          <w:color w:val="000000"/>
        </w:rPr>
        <w:t xml:space="preserve"> wholeheartedly irrational on procedural grounds</w:t>
      </w:r>
      <w:r w:rsidR="00594956">
        <w:rPr>
          <w:color w:val="000000"/>
        </w:rPr>
        <w:t xml:space="preserve">, </w:t>
      </w:r>
      <w:r w:rsidR="006C0202">
        <w:rPr>
          <w:color w:val="000000"/>
        </w:rPr>
        <w:t xml:space="preserve">they </w:t>
      </w:r>
      <w:r w:rsidR="00CD7386" w:rsidRPr="00A01FAE">
        <w:rPr>
          <w:color w:val="000000"/>
        </w:rPr>
        <w:t>both acted in a highly instrumental manner</w:t>
      </w:r>
      <w:r w:rsidR="004A6276" w:rsidRPr="00A01FAE">
        <w:rPr>
          <w:color w:val="000000"/>
        </w:rPr>
        <w:t>.</w:t>
      </w:r>
      <w:r w:rsidR="004A6276" w:rsidRPr="00A01FAE">
        <w:rPr>
          <w:rStyle w:val="FootnoteReference"/>
          <w:color w:val="000000"/>
        </w:rPr>
        <w:footnoteReference w:id="14"/>
      </w:r>
      <w:r w:rsidR="00CD7386" w:rsidRPr="00A01FAE">
        <w:rPr>
          <w:color w:val="000000"/>
        </w:rPr>
        <w:t xml:space="preserve"> </w:t>
      </w:r>
      <w:r w:rsidR="004E0480" w:rsidRPr="00A01FAE">
        <w:rPr>
          <w:color w:val="000000"/>
        </w:rPr>
        <w:t xml:space="preserve"> Hitler did</w:t>
      </w:r>
      <w:r w:rsidR="00465546">
        <w:rPr>
          <w:color w:val="000000"/>
        </w:rPr>
        <w:t xml:space="preserve"> not bleed troops from Germany’s</w:t>
      </w:r>
      <w:r w:rsidR="004E0480" w:rsidRPr="00A01FAE">
        <w:rPr>
          <w:color w:val="000000"/>
        </w:rPr>
        <w:t xml:space="preserve"> war effort to </w:t>
      </w:r>
      <w:r w:rsidR="00465546">
        <w:rPr>
          <w:color w:val="000000"/>
        </w:rPr>
        <w:t xml:space="preserve">man </w:t>
      </w:r>
      <w:r w:rsidR="004E0480" w:rsidRPr="00A01FAE">
        <w:rPr>
          <w:color w:val="000000"/>
        </w:rPr>
        <w:t xml:space="preserve">the gas chambers of his </w:t>
      </w:r>
      <w:proofErr w:type="spellStart"/>
      <w:r w:rsidR="00610912">
        <w:rPr>
          <w:i/>
          <w:color w:val="000000"/>
        </w:rPr>
        <w:t>Endlö</w:t>
      </w:r>
      <w:r w:rsidR="004E0480" w:rsidRPr="00A01FAE">
        <w:rPr>
          <w:i/>
          <w:color w:val="000000"/>
        </w:rPr>
        <w:t>sung</w:t>
      </w:r>
      <w:proofErr w:type="spellEnd"/>
      <w:r w:rsidR="004E0480" w:rsidRPr="00A01FAE">
        <w:rPr>
          <w:color w:val="000000"/>
        </w:rPr>
        <w:t xml:space="preserve"> because he was irrational</w:t>
      </w:r>
      <w:r w:rsidR="00594956">
        <w:rPr>
          <w:color w:val="000000"/>
        </w:rPr>
        <w:t>; he did it</w:t>
      </w:r>
      <w:r w:rsidR="004E0480" w:rsidRPr="00A01FAE">
        <w:rPr>
          <w:color w:val="000000"/>
        </w:rPr>
        <w:t xml:space="preserve"> because he considered the extermination of all European Jewry a more pressing concern than winning the war against the Soviets.</w:t>
      </w:r>
      <w:r w:rsidR="00CC6ECB" w:rsidRPr="00A01FAE">
        <w:rPr>
          <w:rStyle w:val="FootnoteReference"/>
          <w:color w:val="000000"/>
        </w:rPr>
        <w:footnoteReference w:id="15"/>
      </w:r>
      <w:r w:rsidR="00177FF4">
        <w:rPr>
          <w:color w:val="000000"/>
        </w:rPr>
        <w:t xml:space="preserve">  </w:t>
      </w:r>
      <w:r w:rsidR="006C0202">
        <w:rPr>
          <w:color w:val="000000"/>
        </w:rPr>
        <w:t>The concept of r</w:t>
      </w:r>
      <w:r w:rsidR="00177FF4" w:rsidRPr="00A01FAE">
        <w:rPr>
          <w:color w:val="000000"/>
        </w:rPr>
        <w:t xml:space="preserve">ationality therefore cannot be rejected completely out of hand.  </w:t>
      </w:r>
      <w:r w:rsidR="00465546">
        <w:rPr>
          <w:color w:val="000000"/>
        </w:rPr>
        <w:t xml:space="preserve"> </w:t>
      </w:r>
    </w:p>
    <w:p w:rsidR="00BC46CA" w:rsidRDefault="00B9526E" w:rsidP="006E4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r>
      <w:r w:rsidR="007F66B5">
        <w:rPr>
          <w:color w:val="000000"/>
        </w:rPr>
        <w:t>In this light, we can see how</w:t>
      </w:r>
      <w:r>
        <w:rPr>
          <w:color w:val="000000"/>
        </w:rPr>
        <w:t xml:space="preserve"> actors engage in ‘rational’ efforts to ensure their preferences are met.  Even in the extreme cases of Hitler and Khomeini, strategies were adopted on the basis of how likely they were to contribute to the </w:t>
      </w:r>
      <w:r w:rsidR="006E4553">
        <w:rPr>
          <w:color w:val="000000"/>
        </w:rPr>
        <w:t>ends</w:t>
      </w:r>
      <w:r>
        <w:rPr>
          <w:color w:val="000000"/>
        </w:rPr>
        <w:t xml:space="preserve"> </w:t>
      </w:r>
      <w:r w:rsidR="006C0202">
        <w:rPr>
          <w:color w:val="000000"/>
        </w:rPr>
        <w:t>preferred</w:t>
      </w:r>
      <w:r>
        <w:rPr>
          <w:color w:val="000000"/>
        </w:rPr>
        <w:t xml:space="preserve">.  </w:t>
      </w:r>
      <w:r w:rsidR="006E4553">
        <w:rPr>
          <w:color w:val="000000"/>
        </w:rPr>
        <w:t xml:space="preserve">Time and time again, </w:t>
      </w:r>
      <w:r w:rsidR="00C13483">
        <w:rPr>
          <w:color w:val="000000"/>
        </w:rPr>
        <w:t xml:space="preserve">regardless the circumstance, </w:t>
      </w:r>
      <w:r w:rsidR="006E4553">
        <w:rPr>
          <w:color w:val="000000"/>
        </w:rPr>
        <w:t>p</w:t>
      </w:r>
      <w:r>
        <w:rPr>
          <w:color w:val="000000"/>
        </w:rPr>
        <w:t>olicies offering high payoffs and acceptable losses</w:t>
      </w:r>
      <w:r w:rsidR="006E4553">
        <w:rPr>
          <w:color w:val="000000"/>
        </w:rPr>
        <w:t xml:space="preserve"> are chosen over those that do not.  </w:t>
      </w:r>
      <w:r w:rsidR="00C13483">
        <w:rPr>
          <w:color w:val="000000"/>
        </w:rPr>
        <w:t>No</w:t>
      </w:r>
      <w:r>
        <w:rPr>
          <w:color w:val="000000"/>
        </w:rPr>
        <w:t xml:space="preserve"> amount of cognitive constrain</w:t>
      </w:r>
      <w:r w:rsidR="006E4553">
        <w:rPr>
          <w:color w:val="000000"/>
        </w:rPr>
        <w:t>t</w:t>
      </w:r>
      <w:r>
        <w:rPr>
          <w:color w:val="000000"/>
        </w:rPr>
        <w:t xml:space="preserve"> dissuades this central tendency.</w:t>
      </w:r>
      <w:r w:rsidR="006E4553">
        <w:rPr>
          <w:color w:val="000000"/>
        </w:rPr>
        <w:t xml:space="preserve">  The strategies chosen by policymakers may </w:t>
      </w:r>
      <w:r w:rsidR="007F66B5">
        <w:rPr>
          <w:color w:val="000000"/>
        </w:rPr>
        <w:t xml:space="preserve">therefore </w:t>
      </w:r>
      <w:r w:rsidR="006E4553">
        <w:rPr>
          <w:color w:val="000000"/>
        </w:rPr>
        <w:t xml:space="preserve">be imperfect, risky, and perhaps even </w:t>
      </w:r>
      <w:proofErr w:type="gramStart"/>
      <w:r w:rsidR="006E4553">
        <w:rPr>
          <w:color w:val="000000"/>
        </w:rPr>
        <w:t>ill-advised</w:t>
      </w:r>
      <w:proofErr w:type="gramEnd"/>
      <w:r w:rsidR="006E4553">
        <w:rPr>
          <w:color w:val="000000"/>
        </w:rPr>
        <w:t xml:space="preserve">, but rarely do they display an overt contravention </w:t>
      </w:r>
      <w:r w:rsidR="00C13483">
        <w:rPr>
          <w:color w:val="000000"/>
        </w:rPr>
        <w:t>to</w:t>
      </w:r>
      <w:r w:rsidR="006E4553">
        <w:rPr>
          <w:color w:val="000000"/>
        </w:rPr>
        <w:t xml:space="preserve"> what deci</w:t>
      </w:r>
      <w:r w:rsidR="00C13483">
        <w:rPr>
          <w:color w:val="000000"/>
        </w:rPr>
        <w:t>si</w:t>
      </w:r>
      <w:r w:rsidR="006E4553">
        <w:rPr>
          <w:color w:val="000000"/>
        </w:rPr>
        <w:t>on</w:t>
      </w:r>
      <w:r w:rsidR="006C0202">
        <w:rPr>
          <w:color w:val="000000"/>
        </w:rPr>
        <w:t xml:space="preserve"> </w:t>
      </w:r>
      <w:r w:rsidR="006E4553">
        <w:rPr>
          <w:color w:val="000000"/>
        </w:rPr>
        <w:t xml:space="preserve">makers hold dear. </w:t>
      </w:r>
    </w:p>
    <w:p w:rsidR="00BC46CA" w:rsidRDefault="00BC46CA" w:rsidP="006E4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p>
    <w:p w:rsidR="00C13483" w:rsidRDefault="00BC46CA" w:rsidP="006E455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i/>
          <w:color w:val="000000"/>
        </w:rPr>
        <w:t xml:space="preserve">The Importance of </w:t>
      </w:r>
      <w:r w:rsidR="006E0C97">
        <w:rPr>
          <w:i/>
          <w:color w:val="000000"/>
        </w:rPr>
        <w:t>Preference Ordering</w:t>
      </w:r>
    </w:p>
    <w:p w:rsidR="00716D10" w:rsidRDefault="00C13483"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r>
      <w:r w:rsidR="006E4553">
        <w:rPr>
          <w:color w:val="000000"/>
        </w:rPr>
        <w:t>The conseque</w:t>
      </w:r>
      <w:r>
        <w:rPr>
          <w:color w:val="000000"/>
        </w:rPr>
        <w:t>nce of this purposeful aspect of</w:t>
      </w:r>
      <w:r w:rsidR="006E4553">
        <w:rPr>
          <w:color w:val="000000"/>
        </w:rPr>
        <w:t xml:space="preserve"> human pursuits is that we can understand behavior so long as we</w:t>
      </w:r>
      <w:r w:rsidR="006E4553" w:rsidRPr="00B940F5">
        <w:rPr>
          <w:color w:val="000000"/>
        </w:rPr>
        <w:t xml:space="preserve"> understand </w:t>
      </w:r>
      <w:r w:rsidR="006E4553">
        <w:rPr>
          <w:color w:val="000000"/>
        </w:rPr>
        <w:t xml:space="preserve">the </w:t>
      </w:r>
      <w:r w:rsidR="006E4553" w:rsidRPr="00B940F5">
        <w:rPr>
          <w:color w:val="000000"/>
        </w:rPr>
        <w:t>goals</w:t>
      </w:r>
      <w:r w:rsidR="006E4553">
        <w:rPr>
          <w:color w:val="000000"/>
        </w:rPr>
        <w:t xml:space="preserve"> the drove t</w:t>
      </w:r>
      <w:r>
        <w:rPr>
          <w:color w:val="000000"/>
        </w:rPr>
        <w:t xml:space="preserve">hem.  This observation recognizes the promise of rationality, but also includes an important caveat.  Humans may be purposive, but they pursue instrumental rationality in a reflection of specific values.  In other words, </w:t>
      </w:r>
      <w:r w:rsidRPr="00C13483">
        <w:rPr>
          <w:color w:val="000000"/>
        </w:rPr>
        <w:t xml:space="preserve">preferences </w:t>
      </w:r>
      <w:r w:rsidR="00610912">
        <w:rPr>
          <w:color w:val="000000"/>
        </w:rPr>
        <w:t>are no</w:t>
      </w:r>
      <w:r w:rsidR="003F0C5E">
        <w:rPr>
          <w:color w:val="000000"/>
        </w:rPr>
        <w:t>t universal</w:t>
      </w:r>
      <w:r w:rsidR="00610912">
        <w:rPr>
          <w:color w:val="000000"/>
        </w:rPr>
        <w:t xml:space="preserve">.  They can, in fact, vary </w:t>
      </w:r>
      <w:r>
        <w:rPr>
          <w:color w:val="000000"/>
        </w:rPr>
        <w:t>a great deal.</w:t>
      </w:r>
      <w:r w:rsidR="003F0C5E">
        <w:rPr>
          <w:rStyle w:val="FootnoteReference"/>
          <w:color w:val="000000"/>
        </w:rPr>
        <w:footnoteReference w:id="16"/>
      </w:r>
      <w:r>
        <w:rPr>
          <w:color w:val="000000"/>
        </w:rPr>
        <w:t xml:space="preserve"> </w:t>
      </w:r>
      <w:r w:rsidR="003F0C5E">
        <w:rPr>
          <w:color w:val="000000"/>
        </w:rPr>
        <w:t xml:space="preserve"> </w:t>
      </w:r>
      <w:r w:rsidR="00322C51">
        <w:rPr>
          <w:color w:val="000000"/>
        </w:rPr>
        <w:t>Indeed</w:t>
      </w:r>
      <w:r w:rsidR="0012152E">
        <w:rPr>
          <w:color w:val="000000"/>
        </w:rPr>
        <w:t>, an actor’s hierarchy</w:t>
      </w:r>
      <w:r w:rsidR="0012152E" w:rsidRPr="00A95CB9">
        <w:rPr>
          <w:color w:val="000000"/>
        </w:rPr>
        <w:t xml:space="preserve"> of values is determined by specific historical </w:t>
      </w:r>
      <w:r w:rsidR="0012152E">
        <w:rPr>
          <w:color w:val="000000"/>
        </w:rPr>
        <w:t xml:space="preserve">and cultural circumstances.  It therefore takes a nuanced understanding of these conditions to determine what the prevailing order of preferred values is.  </w:t>
      </w:r>
    </w:p>
    <w:p w:rsidR="00C13483" w:rsidRDefault="00716D10" w:rsidP="00C1348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r>
        <w:rPr>
          <w:color w:val="000000"/>
        </w:rPr>
        <w:tab/>
      </w:r>
      <w:r w:rsidR="00DB5E47">
        <w:rPr>
          <w:color w:val="000000"/>
        </w:rPr>
        <w:t>The lesson here is that</w:t>
      </w:r>
      <w:r w:rsidR="00594956">
        <w:rPr>
          <w:color w:val="000000"/>
        </w:rPr>
        <w:t xml:space="preserve"> </w:t>
      </w:r>
      <w:r w:rsidR="00177FF4">
        <w:rPr>
          <w:color w:val="000000"/>
        </w:rPr>
        <w:t xml:space="preserve">the </w:t>
      </w:r>
      <w:r w:rsidR="00465546">
        <w:rPr>
          <w:color w:val="000000"/>
        </w:rPr>
        <w:t xml:space="preserve">traditional </w:t>
      </w:r>
      <w:r w:rsidR="00DB5E47">
        <w:rPr>
          <w:color w:val="000000"/>
        </w:rPr>
        <w:t xml:space="preserve">concept </w:t>
      </w:r>
      <w:r w:rsidR="00594956">
        <w:rPr>
          <w:color w:val="000000"/>
        </w:rPr>
        <w:t xml:space="preserve">of rationality </w:t>
      </w:r>
      <w:r w:rsidR="00177FF4">
        <w:rPr>
          <w:color w:val="000000"/>
        </w:rPr>
        <w:t xml:space="preserve">is </w:t>
      </w:r>
      <w:r w:rsidR="00465546">
        <w:rPr>
          <w:color w:val="000000"/>
        </w:rPr>
        <w:t>significantly</w:t>
      </w:r>
      <w:r w:rsidR="00594956">
        <w:rPr>
          <w:color w:val="000000"/>
        </w:rPr>
        <w:t xml:space="preserve"> flawed.</w:t>
      </w:r>
      <w:r w:rsidR="0012152E">
        <w:rPr>
          <w:color w:val="000000"/>
        </w:rPr>
        <w:t xml:space="preserve">  </w:t>
      </w:r>
      <w:r w:rsidR="00B61200">
        <w:rPr>
          <w:color w:val="000000"/>
        </w:rPr>
        <w:t>Western policymakers tend to</w:t>
      </w:r>
      <w:r w:rsidR="0012152E">
        <w:rPr>
          <w:color w:val="000000"/>
        </w:rPr>
        <w:t xml:space="preserve"> assume their non-Western</w:t>
      </w:r>
      <w:r w:rsidR="00B61200">
        <w:rPr>
          <w:color w:val="000000"/>
        </w:rPr>
        <w:t xml:space="preserve"> </w:t>
      </w:r>
      <w:r>
        <w:rPr>
          <w:color w:val="000000"/>
        </w:rPr>
        <w:t>opponents</w:t>
      </w:r>
      <w:r w:rsidR="00D81E1E">
        <w:rPr>
          <w:color w:val="000000"/>
        </w:rPr>
        <w:t>—both real and prospective—</w:t>
      </w:r>
      <w:r w:rsidR="00092410">
        <w:rPr>
          <w:color w:val="000000"/>
        </w:rPr>
        <w:t>value</w:t>
      </w:r>
      <w:r w:rsidR="00D81E1E">
        <w:rPr>
          <w:color w:val="000000"/>
        </w:rPr>
        <w:t xml:space="preserve"> </w:t>
      </w:r>
      <w:r w:rsidR="00594956">
        <w:rPr>
          <w:color w:val="000000"/>
        </w:rPr>
        <w:t>individual freedom and</w:t>
      </w:r>
      <w:r>
        <w:rPr>
          <w:color w:val="000000"/>
        </w:rPr>
        <w:t xml:space="preserve"> </w:t>
      </w:r>
      <w:r w:rsidR="00594956">
        <w:rPr>
          <w:color w:val="000000"/>
        </w:rPr>
        <w:t xml:space="preserve">material wealth </w:t>
      </w:r>
      <w:r w:rsidR="0012152E">
        <w:rPr>
          <w:color w:val="000000"/>
        </w:rPr>
        <w:t xml:space="preserve">above all other considerations.  This sits well within the legacy of the Enlightenment, but it is decidedly untrue.  </w:t>
      </w:r>
      <w:r w:rsidR="0012152E">
        <w:rPr>
          <w:i/>
          <w:color w:val="000000"/>
        </w:rPr>
        <w:t>Pace</w:t>
      </w:r>
      <w:r w:rsidR="0012152E">
        <w:rPr>
          <w:color w:val="000000"/>
        </w:rPr>
        <w:t xml:space="preserve"> Kant and Rousseau, preferences are not universal, a fact amply demonstrated by the West’s wholesale lack of success in its coercive </w:t>
      </w:r>
      <w:r w:rsidR="00FB1AC7">
        <w:rPr>
          <w:color w:val="000000"/>
        </w:rPr>
        <w:t xml:space="preserve">efforts cited above.  </w:t>
      </w:r>
      <w:r w:rsidR="0012152E">
        <w:rPr>
          <w:color w:val="000000"/>
        </w:rPr>
        <w:t xml:space="preserve">Economic sanctions, after all, only work when an opponent </w:t>
      </w:r>
      <w:r w:rsidR="00556408">
        <w:rPr>
          <w:color w:val="000000"/>
        </w:rPr>
        <w:t xml:space="preserve">cares about </w:t>
      </w:r>
      <w:r w:rsidR="00DE4E64">
        <w:rPr>
          <w:color w:val="000000"/>
        </w:rPr>
        <w:t>material wealth</w:t>
      </w:r>
      <w:r w:rsidR="0012152E">
        <w:rPr>
          <w:color w:val="000000"/>
        </w:rPr>
        <w:t>.</w:t>
      </w:r>
      <w:r w:rsidR="00A123E3">
        <w:rPr>
          <w:color w:val="000000"/>
        </w:rPr>
        <w:t xml:space="preserve">  </w:t>
      </w:r>
      <w:r w:rsidR="00DE4E64">
        <w:rPr>
          <w:color w:val="000000"/>
        </w:rPr>
        <w:t>However,</w:t>
      </w:r>
      <w:r w:rsidR="00665799">
        <w:rPr>
          <w:color w:val="000000"/>
        </w:rPr>
        <w:t xml:space="preserve"> when an opponent’s</w:t>
      </w:r>
      <w:r w:rsidR="00A123E3">
        <w:rPr>
          <w:color w:val="000000"/>
        </w:rPr>
        <w:t xml:space="preserve"> preferences are contrary to this expectation</w:t>
      </w:r>
      <w:r w:rsidR="00665799">
        <w:rPr>
          <w:color w:val="000000"/>
        </w:rPr>
        <w:t>,</w:t>
      </w:r>
      <w:r w:rsidR="00A123E3">
        <w:rPr>
          <w:color w:val="000000"/>
        </w:rPr>
        <w:t xml:space="preserve"> such policies </w:t>
      </w:r>
      <w:r w:rsidR="00DE4E64">
        <w:rPr>
          <w:color w:val="000000"/>
        </w:rPr>
        <w:t>will meet with abject failure</w:t>
      </w:r>
      <w:r w:rsidR="00A123E3">
        <w:rPr>
          <w:color w:val="000000"/>
        </w:rPr>
        <w:t xml:space="preserve">.  </w:t>
      </w:r>
      <w:r w:rsidR="00665799">
        <w:rPr>
          <w:color w:val="000000"/>
        </w:rPr>
        <w:t>More importantly, t</w:t>
      </w:r>
      <w:r w:rsidR="0063394E">
        <w:rPr>
          <w:color w:val="000000"/>
        </w:rPr>
        <w:t>hese cases are</w:t>
      </w:r>
      <w:r w:rsidR="00DE4E64">
        <w:rPr>
          <w:color w:val="000000"/>
        </w:rPr>
        <w:t xml:space="preserve"> </w:t>
      </w:r>
      <w:r w:rsidR="00556408">
        <w:rPr>
          <w:color w:val="000000"/>
        </w:rPr>
        <w:t>relatively minor instances of</w:t>
      </w:r>
      <w:r w:rsidR="00956ED6">
        <w:rPr>
          <w:color w:val="000000"/>
        </w:rPr>
        <w:t xml:space="preserve"> </w:t>
      </w:r>
      <w:r w:rsidR="00DE4E64">
        <w:rPr>
          <w:color w:val="000000"/>
        </w:rPr>
        <w:t xml:space="preserve">a </w:t>
      </w:r>
      <w:r w:rsidR="0063394E">
        <w:rPr>
          <w:color w:val="000000"/>
        </w:rPr>
        <w:t>widespread</w:t>
      </w:r>
      <w:r w:rsidR="00DE4E64">
        <w:rPr>
          <w:color w:val="000000"/>
        </w:rPr>
        <w:t xml:space="preserve"> problem.  P</w:t>
      </w:r>
      <w:r w:rsidR="00A123E3">
        <w:rPr>
          <w:color w:val="000000"/>
        </w:rPr>
        <w:t>olicymakers</w:t>
      </w:r>
      <w:r w:rsidR="00DE4E64">
        <w:rPr>
          <w:color w:val="000000"/>
        </w:rPr>
        <w:t xml:space="preserve"> demonstrate a penchant</w:t>
      </w:r>
      <w:r w:rsidR="00A123E3">
        <w:rPr>
          <w:color w:val="000000"/>
        </w:rPr>
        <w:t xml:space="preserve"> </w:t>
      </w:r>
      <w:r w:rsidR="00DE4E64">
        <w:rPr>
          <w:color w:val="000000"/>
        </w:rPr>
        <w:t>for</w:t>
      </w:r>
      <w:r w:rsidR="00665799">
        <w:rPr>
          <w:color w:val="000000"/>
        </w:rPr>
        <w:t xml:space="preserve"> blithely assuming</w:t>
      </w:r>
      <w:r w:rsidR="00A123E3">
        <w:rPr>
          <w:color w:val="000000"/>
        </w:rPr>
        <w:t xml:space="preserve"> the</w:t>
      </w:r>
      <w:r w:rsidR="00956ED6">
        <w:rPr>
          <w:color w:val="000000"/>
        </w:rPr>
        <w:t xml:space="preserve"> be</w:t>
      </w:r>
      <w:r w:rsidR="00C13483">
        <w:rPr>
          <w:color w:val="000000"/>
        </w:rPr>
        <w:t>h</w:t>
      </w:r>
      <w:r w:rsidR="00956ED6">
        <w:rPr>
          <w:color w:val="000000"/>
        </w:rPr>
        <w:t>a</w:t>
      </w:r>
      <w:r w:rsidR="00C13483">
        <w:rPr>
          <w:color w:val="000000"/>
        </w:rPr>
        <w:t>vioural and outcome preferences</w:t>
      </w:r>
      <w:r w:rsidR="00DE4E64">
        <w:rPr>
          <w:color w:val="000000"/>
        </w:rPr>
        <w:t xml:space="preserve"> of their rivals,</w:t>
      </w:r>
      <w:r w:rsidR="00A123E3">
        <w:rPr>
          <w:color w:val="000000"/>
        </w:rPr>
        <w:t xml:space="preserve"> </w:t>
      </w:r>
      <w:r w:rsidR="00DE4E64">
        <w:rPr>
          <w:color w:val="000000"/>
        </w:rPr>
        <w:t xml:space="preserve">all </w:t>
      </w:r>
      <w:r w:rsidR="00A123E3">
        <w:rPr>
          <w:color w:val="000000"/>
        </w:rPr>
        <w:t xml:space="preserve">without any serious consideration as to whether or not these assumptions are accurate.  As we shall see next, the cost of </w:t>
      </w:r>
      <w:r w:rsidR="00DE4E64">
        <w:rPr>
          <w:color w:val="000000"/>
        </w:rPr>
        <w:t>this</w:t>
      </w:r>
      <w:r w:rsidR="00A123E3">
        <w:rPr>
          <w:color w:val="000000"/>
        </w:rPr>
        <w:t xml:space="preserve"> failure </w:t>
      </w:r>
      <w:r w:rsidR="00665799">
        <w:rPr>
          <w:color w:val="000000"/>
        </w:rPr>
        <w:t xml:space="preserve">to perform due diligence </w:t>
      </w:r>
      <w:r w:rsidR="00A123E3">
        <w:rPr>
          <w:color w:val="000000"/>
        </w:rPr>
        <w:t>can be murderously high.</w:t>
      </w:r>
      <w:r w:rsidR="00C13483">
        <w:rPr>
          <w:color w:val="000000"/>
        </w:rPr>
        <w:t xml:space="preserve"> </w:t>
      </w:r>
    </w:p>
    <w:p w:rsidR="00DE4E64" w:rsidRDefault="00DE4E64"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p>
    <w:p w:rsidR="000208CD" w:rsidRDefault="000208CD"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rPr>
      </w:pPr>
    </w:p>
    <w:p w:rsidR="00465546" w:rsidRPr="000208CD" w:rsidRDefault="000208CD" w:rsidP="00CD79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
          <w:color w:val="000000"/>
          <w:u w:val="single"/>
        </w:rPr>
      </w:pPr>
      <w:r w:rsidRPr="000208CD">
        <w:rPr>
          <w:color w:val="000000"/>
          <w:u w:val="single"/>
        </w:rPr>
        <w:t xml:space="preserve">2.0 </w:t>
      </w:r>
      <w:r w:rsidR="00BC46CA">
        <w:rPr>
          <w:b/>
          <w:color w:val="000000"/>
          <w:u w:val="single"/>
        </w:rPr>
        <w:t xml:space="preserve">The </w:t>
      </w:r>
      <w:r w:rsidR="00A123E3">
        <w:rPr>
          <w:b/>
          <w:color w:val="000000"/>
          <w:u w:val="single"/>
        </w:rPr>
        <w:t>Consequences</w:t>
      </w:r>
      <w:r w:rsidR="00BC46CA">
        <w:rPr>
          <w:b/>
          <w:color w:val="000000"/>
          <w:u w:val="single"/>
        </w:rPr>
        <w:t xml:space="preserve"> of Cultural Misunderstanding</w:t>
      </w:r>
    </w:p>
    <w:p w:rsidR="00A123E3" w:rsidRDefault="00A123E3"/>
    <w:p w:rsidR="001C5FD6" w:rsidRPr="00A123E3" w:rsidRDefault="00A123E3">
      <w:pPr>
        <w:rPr>
          <w:i/>
        </w:rPr>
      </w:pPr>
      <w:r>
        <w:rPr>
          <w:i/>
        </w:rPr>
        <w:t>Barbarossa</w:t>
      </w:r>
    </w:p>
    <w:p w:rsidR="009F5232" w:rsidRPr="009F5232" w:rsidRDefault="00B9254A" w:rsidP="009F5232">
      <w:pPr>
        <w:ind w:firstLine="720"/>
      </w:pPr>
      <w:r>
        <w:t xml:space="preserve">The first illustrative case is the German invasion of Russia in the summer of 1941.  </w:t>
      </w:r>
      <w:r w:rsidR="0063394E">
        <w:t xml:space="preserve">It is interesting to note that </w:t>
      </w:r>
      <w:r w:rsidR="00A123E3">
        <w:t>Hitl</w:t>
      </w:r>
      <w:r>
        <w:t xml:space="preserve">er was not above nervousness during </w:t>
      </w:r>
      <w:r w:rsidR="00A123E3">
        <w:t>the lead</w:t>
      </w:r>
      <w:r>
        <w:t>-</w:t>
      </w:r>
      <w:r w:rsidR="00A123E3">
        <w:t>up</w:t>
      </w:r>
      <w:r w:rsidR="0063394E">
        <w:t xml:space="preserve"> to the campaign</w:t>
      </w:r>
      <w:r w:rsidR="00A123E3">
        <w:t>.  On</w:t>
      </w:r>
      <w:r>
        <w:t xml:space="preserve"> June 22,</w:t>
      </w:r>
      <w:r w:rsidR="00A123E3">
        <w:t xml:space="preserve"> the day </w:t>
      </w:r>
      <w:r>
        <w:t xml:space="preserve">operation </w:t>
      </w:r>
      <w:r w:rsidR="009F5232">
        <w:rPr>
          <w:i/>
        </w:rPr>
        <w:t>Barbarossa</w:t>
      </w:r>
      <w:r w:rsidR="00A123E3">
        <w:t xml:space="preserve"> began, </w:t>
      </w:r>
      <w:r>
        <w:t xml:space="preserve">Hitler requested celestial intervention to see this difficult task through.  </w:t>
      </w:r>
      <w:r w:rsidR="00C37347" w:rsidRPr="00A95CB9">
        <w:rPr>
          <w:color w:val="000000"/>
          <w:szCs w:val="20"/>
        </w:rPr>
        <w:t>“I have decided again today to place the fate and future of the Reich and our people in the hands of our soldiers.  May God aid us, especially in this fight.”</w:t>
      </w:r>
      <w:r w:rsidR="00C37347" w:rsidRPr="00A95CB9">
        <w:rPr>
          <w:rStyle w:val="FootnoteReference"/>
          <w:color w:val="000000"/>
          <w:szCs w:val="20"/>
        </w:rPr>
        <w:footnoteReference w:id="17"/>
      </w:r>
      <w:r w:rsidR="00C37347" w:rsidRPr="00A95CB9">
        <w:rPr>
          <w:color w:val="000000"/>
          <w:szCs w:val="20"/>
        </w:rPr>
        <w:t xml:space="preserve"> </w:t>
      </w:r>
      <w:r>
        <w:rPr>
          <w:color w:val="000000"/>
          <w:szCs w:val="20"/>
        </w:rPr>
        <w:t xml:space="preserve"> Such worry</w:t>
      </w:r>
      <w:r w:rsidR="005719FE">
        <w:rPr>
          <w:color w:val="000000"/>
          <w:szCs w:val="20"/>
        </w:rPr>
        <w:t>, however,</w:t>
      </w:r>
      <w:r>
        <w:rPr>
          <w:color w:val="000000"/>
          <w:szCs w:val="20"/>
        </w:rPr>
        <w:t xml:space="preserve"> belied the </w:t>
      </w:r>
      <w:r w:rsidRPr="005719FE">
        <w:rPr>
          <w:color w:val="000000"/>
          <w:szCs w:val="20"/>
        </w:rPr>
        <w:t xml:space="preserve">extreme confidence </w:t>
      </w:r>
      <w:r w:rsidR="009F5232" w:rsidRPr="005719FE">
        <w:rPr>
          <w:color w:val="000000"/>
          <w:szCs w:val="20"/>
        </w:rPr>
        <w:t xml:space="preserve">of </w:t>
      </w:r>
      <w:r w:rsidR="005719FE" w:rsidRPr="005719FE">
        <w:rPr>
          <w:color w:val="000000"/>
          <w:szCs w:val="20"/>
        </w:rPr>
        <w:t xml:space="preserve">the </w:t>
      </w:r>
      <w:proofErr w:type="spellStart"/>
      <w:r w:rsidR="005719FE" w:rsidRPr="005719FE">
        <w:rPr>
          <w:rFonts w:eastAsiaTheme="minorHAnsi" w:cs="Baskerville Semibold"/>
          <w:i/>
          <w:szCs w:val="48"/>
        </w:rPr>
        <w:t>Führer</w:t>
      </w:r>
      <w:proofErr w:type="spellEnd"/>
      <w:r w:rsidR="005719FE" w:rsidRPr="005719FE">
        <w:rPr>
          <w:color w:val="000000"/>
          <w:szCs w:val="20"/>
        </w:rPr>
        <w:t xml:space="preserve"> </w:t>
      </w:r>
      <w:r w:rsidRPr="005719FE">
        <w:rPr>
          <w:color w:val="000000"/>
          <w:szCs w:val="20"/>
        </w:rPr>
        <w:t>and</w:t>
      </w:r>
      <w:r>
        <w:rPr>
          <w:color w:val="000000"/>
          <w:szCs w:val="20"/>
        </w:rPr>
        <w:t xml:space="preserve"> his generals.  Busy planning for the upcoming attack, </w:t>
      </w:r>
      <w:r w:rsidR="009F5232">
        <w:rPr>
          <w:color w:val="000000"/>
          <w:szCs w:val="20"/>
        </w:rPr>
        <w:t xml:space="preserve">the Commander-in-Chief of the Army, Walther von </w:t>
      </w:r>
      <w:proofErr w:type="spellStart"/>
      <w:r w:rsidRPr="00A95CB9">
        <w:t>Brauchitsch</w:t>
      </w:r>
      <w:proofErr w:type="spellEnd"/>
      <w:r w:rsidR="009F5232">
        <w:t>,</w:t>
      </w:r>
      <w:r w:rsidRPr="00A95CB9">
        <w:t xml:space="preserve"> wrote </w:t>
      </w:r>
      <w:r>
        <w:t>in</w:t>
      </w:r>
      <w:r w:rsidRPr="00A95CB9">
        <w:t xml:space="preserve"> April 1941</w:t>
      </w:r>
      <w:r>
        <w:t xml:space="preserve"> that “Massive frontier battles [are</w:t>
      </w:r>
      <w:r w:rsidR="00A123E3" w:rsidRPr="00A95CB9">
        <w:t>] to be expected; [of whose] duration [wo</w:t>
      </w:r>
      <w:r>
        <w:t>uld only be] up to four weeks.”  Thereafter, “</w:t>
      </w:r>
      <w:r w:rsidR="00A123E3" w:rsidRPr="00A95CB9">
        <w:t xml:space="preserve">only </w:t>
      </w:r>
      <w:r w:rsidR="00A123E3" w:rsidRPr="00B9254A">
        <w:t xml:space="preserve">minor </w:t>
      </w:r>
      <w:r w:rsidR="00A123E3" w:rsidRPr="00A95CB9">
        <w:t>resistance is then still to be reckoned with.”</w:t>
      </w:r>
      <w:r>
        <w:rPr>
          <w:rStyle w:val="FootnoteReference"/>
        </w:rPr>
        <w:footnoteReference w:id="18"/>
      </w:r>
      <w:r w:rsidR="009F5232">
        <w:t xml:space="preserve">  Hitler was even more emphatic.  </w:t>
      </w:r>
      <w:r w:rsidR="009F5232" w:rsidRPr="00A95CB9">
        <w:t>“You have only to kick in the door,” he told general Rundstedt on the eve of Barbarossa, “and the whole rotten structure will come crashing down.”</w:t>
      </w:r>
      <w:r w:rsidR="009F5232">
        <w:rPr>
          <w:rStyle w:val="FootnoteReference"/>
        </w:rPr>
        <w:footnoteReference w:id="19"/>
      </w:r>
      <w:r w:rsidR="009F5232">
        <w:t xml:space="preserve">  As a testament to this confidence, German military planners anticipated that only </w:t>
      </w:r>
      <w:r w:rsidR="009F5232">
        <w:rPr>
          <w:color w:val="000000"/>
          <w:szCs w:val="20"/>
        </w:rPr>
        <w:t>58 divisions would remain in Russia</w:t>
      </w:r>
      <w:r w:rsidR="009F5232" w:rsidRPr="00A95CB9">
        <w:rPr>
          <w:color w:val="000000"/>
          <w:szCs w:val="20"/>
        </w:rPr>
        <w:t xml:space="preserve"> </w:t>
      </w:r>
      <w:r w:rsidR="009F5232">
        <w:rPr>
          <w:color w:val="000000"/>
          <w:szCs w:val="20"/>
        </w:rPr>
        <w:t>by the time</w:t>
      </w:r>
      <w:r w:rsidR="009F5232" w:rsidRPr="00A95CB9">
        <w:rPr>
          <w:color w:val="000000"/>
          <w:szCs w:val="20"/>
        </w:rPr>
        <w:t xml:space="preserve"> </w:t>
      </w:r>
      <w:r w:rsidR="009F5232">
        <w:rPr>
          <w:color w:val="000000"/>
          <w:szCs w:val="20"/>
        </w:rPr>
        <w:t>the bitter cold set</w:t>
      </w:r>
      <w:r w:rsidR="009F5232" w:rsidRPr="00A95CB9">
        <w:rPr>
          <w:color w:val="000000"/>
          <w:szCs w:val="20"/>
        </w:rPr>
        <w:t xml:space="preserve"> in</w:t>
      </w:r>
      <w:r w:rsidR="009F5232">
        <w:rPr>
          <w:color w:val="000000"/>
          <w:szCs w:val="20"/>
        </w:rPr>
        <w:t>.</w:t>
      </w:r>
      <w:r w:rsidR="009F5232">
        <w:rPr>
          <w:rStyle w:val="FootnoteReference"/>
          <w:color w:val="000000"/>
          <w:szCs w:val="20"/>
        </w:rPr>
        <w:footnoteReference w:id="20"/>
      </w:r>
      <w:proofErr w:type="gramStart"/>
      <w:r w:rsidR="00637B61">
        <w:rPr>
          <w:color w:val="000000"/>
          <w:szCs w:val="20"/>
        </w:rPr>
        <w:t xml:space="preserve">  </w:t>
      </w:r>
      <w:r w:rsidR="009F5232">
        <w:rPr>
          <w:color w:val="000000"/>
          <w:szCs w:val="20"/>
        </w:rPr>
        <w:t>No</w:t>
      </w:r>
      <w:proofErr w:type="gramEnd"/>
      <w:r w:rsidR="009F5232">
        <w:rPr>
          <w:color w:val="000000"/>
          <w:szCs w:val="20"/>
        </w:rPr>
        <w:t xml:space="preserve"> more than this relatively small garrison force was deemed necessary, for it was assumed that by then all the heavy fighting would be over.  </w:t>
      </w:r>
    </w:p>
    <w:p w:rsidR="009F5232" w:rsidRDefault="00B9254A" w:rsidP="009F5232">
      <w:pPr>
        <w:ind w:firstLine="720"/>
        <w:rPr>
          <w:color w:val="000000"/>
          <w:szCs w:val="20"/>
        </w:rPr>
      </w:pPr>
      <w:r>
        <w:t>Germany’s overwhelming early success did not</w:t>
      </w:r>
      <w:r w:rsidR="0063394E">
        <w:t xml:space="preserve">hing to diminish this excessive </w:t>
      </w:r>
      <w:r>
        <w:t>confidence</w:t>
      </w:r>
      <w:r w:rsidR="009F5232">
        <w:t xml:space="preserve">.  Franz </w:t>
      </w:r>
      <w:proofErr w:type="spellStart"/>
      <w:r w:rsidR="00C37347" w:rsidRPr="00A95CB9">
        <w:rPr>
          <w:color w:val="000000"/>
          <w:szCs w:val="20"/>
        </w:rPr>
        <w:t>Halder</w:t>
      </w:r>
      <w:proofErr w:type="spellEnd"/>
      <w:r w:rsidR="009F5232">
        <w:rPr>
          <w:color w:val="000000"/>
          <w:szCs w:val="20"/>
        </w:rPr>
        <w:t>, head of the Army’s General staff, remarked on</w:t>
      </w:r>
      <w:r w:rsidR="00C37347" w:rsidRPr="00A95CB9">
        <w:rPr>
          <w:color w:val="000000"/>
          <w:szCs w:val="20"/>
        </w:rPr>
        <w:t xml:space="preserve"> July 3 </w:t>
      </w:r>
      <w:r w:rsidR="009F5232">
        <w:rPr>
          <w:color w:val="000000"/>
          <w:szCs w:val="20"/>
        </w:rPr>
        <w:t>that:</w:t>
      </w:r>
    </w:p>
    <w:p w:rsidR="009F5232" w:rsidRDefault="00C37347" w:rsidP="009F5232">
      <w:pPr>
        <w:ind w:firstLine="720"/>
        <w:rPr>
          <w:color w:val="000000"/>
          <w:szCs w:val="20"/>
        </w:rPr>
      </w:pPr>
      <w:r w:rsidRPr="00A95CB9">
        <w:rPr>
          <w:color w:val="000000"/>
          <w:szCs w:val="20"/>
        </w:rPr>
        <w:t xml:space="preserve">“One can already say that the task of destroying the mass of the Red Army in front of the </w:t>
      </w:r>
    </w:p>
    <w:p w:rsidR="009F7152" w:rsidRPr="009F5232" w:rsidRDefault="00C37347" w:rsidP="009F5232">
      <w:pPr>
        <w:ind w:left="720"/>
      </w:pPr>
      <w:r w:rsidRPr="00A95CB9">
        <w:rPr>
          <w:color w:val="000000"/>
          <w:szCs w:val="20"/>
        </w:rPr>
        <w:t xml:space="preserve">Dvina and Dnepr has been fulfilled…We can calculate on </w:t>
      </w:r>
      <w:r w:rsidR="009F5232">
        <w:rPr>
          <w:color w:val="000000"/>
          <w:szCs w:val="20"/>
        </w:rPr>
        <w:t xml:space="preserve">meeting </w:t>
      </w:r>
      <w:r w:rsidRPr="00A95CB9">
        <w:rPr>
          <w:color w:val="000000"/>
          <w:szCs w:val="20"/>
        </w:rPr>
        <w:t>east…only disjointed forces which alone do not posse</w:t>
      </w:r>
      <w:r w:rsidR="009F5232">
        <w:rPr>
          <w:color w:val="000000"/>
          <w:szCs w:val="20"/>
        </w:rPr>
        <w:t xml:space="preserve">ss the strength to hinder </w:t>
      </w:r>
      <w:r w:rsidRPr="00A95CB9">
        <w:rPr>
          <w:color w:val="000000"/>
          <w:szCs w:val="20"/>
        </w:rPr>
        <w:t>operations…It is therefore not claiming too much when I assert that the campaign against Russia has been won in fourteen days.”</w:t>
      </w:r>
      <w:r w:rsidR="00B9254A">
        <w:rPr>
          <w:rStyle w:val="FootnoteReference"/>
          <w:color w:val="000000"/>
          <w:szCs w:val="20"/>
        </w:rPr>
        <w:footnoteReference w:id="21"/>
      </w:r>
      <w:r w:rsidRPr="00A95CB9">
        <w:rPr>
          <w:color w:val="000000"/>
          <w:szCs w:val="20"/>
        </w:rPr>
        <w:t xml:space="preserve"> </w:t>
      </w:r>
    </w:p>
    <w:p w:rsidR="009F5232" w:rsidRDefault="009A09D2" w:rsidP="009F5232">
      <w:pPr>
        <w:rPr>
          <w:color w:val="000000"/>
          <w:szCs w:val="20"/>
        </w:rPr>
      </w:pPr>
      <w:r>
        <w:rPr>
          <w:color w:val="000000"/>
          <w:szCs w:val="20"/>
        </w:rPr>
        <w:t>The</w:t>
      </w:r>
      <w:r w:rsidR="009F5232">
        <w:rPr>
          <w:color w:val="000000"/>
          <w:szCs w:val="20"/>
        </w:rPr>
        <w:t xml:space="preserve"> war</w:t>
      </w:r>
      <w:r>
        <w:rPr>
          <w:color w:val="000000"/>
          <w:szCs w:val="20"/>
        </w:rPr>
        <w:t>, however,</w:t>
      </w:r>
      <w:r w:rsidR="009F5232">
        <w:rPr>
          <w:color w:val="000000"/>
          <w:szCs w:val="20"/>
        </w:rPr>
        <w:t xml:space="preserve"> would last far longer than that.  In fact, hardly a month would go by before it became increasingly apparent that the Germans had made a fatal mistake.  </w:t>
      </w:r>
      <w:r>
        <w:rPr>
          <w:color w:val="000000"/>
          <w:szCs w:val="20"/>
        </w:rPr>
        <w:t xml:space="preserve">As the </w:t>
      </w:r>
      <w:proofErr w:type="spellStart"/>
      <w:r w:rsidR="0063394E">
        <w:rPr>
          <w:i/>
          <w:color w:val="000000"/>
          <w:szCs w:val="20"/>
        </w:rPr>
        <w:t>Wehrmacht</w:t>
      </w:r>
      <w:r w:rsidR="0063394E">
        <w:rPr>
          <w:color w:val="000000"/>
          <w:szCs w:val="20"/>
        </w:rPr>
        <w:t>’s</w:t>
      </w:r>
      <w:proofErr w:type="spellEnd"/>
      <w:r w:rsidR="0063394E">
        <w:rPr>
          <w:color w:val="000000"/>
          <w:szCs w:val="20"/>
        </w:rPr>
        <w:t xml:space="preserve"> panzers and plodding infantry</w:t>
      </w:r>
      <w:r>
        <w:rPr>
          <w:color w:val="000000"/>
          <w:szCs w:val="20"/>
        </w:rPr>
        <w:t xml:space="preserve"> were dragged ever deeper into the Russian heartland, victory refused to come.  </w:t>
      </w:r>
      <w:r w:rsidR="009F5232">
        <w:rPr>
          <w:color w:val="000000"/>
          <w:szCs w:val="20"/>
        </w:rPr>
        <w:t xml:space="preserve">With a sense of </w:t>
      </w:r>
      <w:r>
        <w:rPr>
          <w:color w:val="000000"/>
          <w:szCs w:val="20"/>
        </w:rPr>
        <w:t>exasperation</w:t>
      </w:r>
      <w:r w:rsidR="009F5232">
        <w:rPr>
          <w:color w:val="000000"/>
          <w:szCs w:val="20"/>
        </w:rPr>
        <w:t xml:space="preserve"> in his words, </w:t>
      </w:r>
      <w:proofErr w:type="spellStart"/>
      <w:r w:rsidR="009F5232">
        <w:rPr>
          <w:color w:val="000000"/>
          <w:szCs w:val="20"/>
        </w:rPr>
        <w:t>Halder</w:t>
      </w:r>
      <w:proofErr w:type="spellEnd"/>
      <w:r w:rsidR="009F5232">
        <w:rPr>
          <w:color w:val="000000"/>
          <w:szCs w:val="20"/>
        </w:rPr>
        <w:t xml:space="preserve"> wrote on August 11 that:</w:t>
      </w:r>
    </w:p>
    <w:p w:rsidR="009F5232" w:rsidRPr="00A95CB9" w:rsidRDefault="009F5232" w:rsidP="009F5232">
      <w:pPr>
        <w:ind w:left="720"/>
        <w:rPr>
          <w:color w:val="000000"/>
          <w:szCs w:val="20"/>
        </w:rPr>
      </w:pPr>
      <w:r w:rsidRPr="00A95CB9">
        <w:rPr>
          <w:color w:val="000000"/>
          <w:szCs w:val="20"/>
        </w:rPr>
        <w:t>“The whole situation shows more and more clearly that we have underestimated the colossus of Russia…</w:t>
      </w:r>
      <w:proofErr w:type="gramStart"/>
      <w:r w:rsidRPr="00A95CB9">
        <w:rPr>
          <w:color w:val="000000"/>
          <w:szCs w:val="20"/>
        </w:rPr>
        <w:t>.This</w:t>
      </w:r>
      <w:proofErr w:type="gramEnd"/>
      <w:r w:rsidRPr="00A95CB9">
        <w:rPr>
          <w:color w:val="000000"/>
          <w:szCs w:val="20"/>
        </w:rPr>
        <w:t xml:space="preserve"> conclusion is shown both on the </w:t>
      </w:r>
      <w:r>
        <w:rPr>
          <w:color w:val="000000"/>
          <w:szCs w:val="20"/>
        </w:rPr>
        <w:t>organizational</w:t>
      </w:r>
      <w:r w:rsidRPr="00A95CB9">
        <w:rPr>
          <w:color w:val="000000"/>
          <w:szCs w:val="20"/>
        </w:rPr>
        <w:t xml:space="preserve"> as well as the economic levels, in the transportation, and above all in infantry divisions.  We have already identified 360.  The divisions are admittedly not armed and equipped in our sense, and tactically they are badly led.  But there they are; and when we destroy a dozen the Russians simply establish another dozen.”</w:t>
      </w:r>
      <w:r>
        <w:rPr>
          <w:rStyle w:val="FootnoteReference"/>
          <w:color w:val="000000"/>
          <w:szCs w:val="20"/>
        </w:rPr>
        <w:footnoteReference w:id="22"/>
      </w:r>
      <w:r w:rsidRPr="00A95CB9">
        <w:rPr>
          <w:color w:val="000000"/>
          <w:szCs w:val="20"/>
        </w:rPr>
        <w:t xml:space="preserve"> </w:t>
      </w:r>
    </w:p>
    <w:p w:rsidR="009F5232" w:rsidRPr="00A95CB9" w:rsidRDefault="009F5232" w:rsidP="009F5232">
      <w:pPr>
        <w:rPr>
          <w:color w:val="000000"/>
          <w:szCs w:val="20"/>
        </w:rPr>
      </w:pPr>
      <w:r>
        <w:rPr>
          <w:color w:val="000000"/>
          <w:szCs w:val="20"/>
        </w:rPr>
        <w:t>These words came after the battle of</w:t>
      </w:r>
      <w:r w:rsidRPr="00A95CB9">
        <w:rPr>
          <w:color w:val="000000"/>
          <w:szCs w:val="20"/>
        </w:rPr>
        <w:t xml:space="preserve"> Smolensk, </w:t>
      </w:r>
      <w:r>
        <w:rPr>
          <w:color w:val="000000"/>
          <w:szCs w:val="20"/>
        </w:rPr>
        <w:t xml:space="preserve">where the Russians proved once again their willingness </w:t>
      </w:r>
      <w:r w:rsidR="00203C65">
        <w:rPr>
          <w:color w:val="000000"/>
          <w:szCs w:val="20"/>
        </w:rPr>
        <w:t>to</w:t>
      </w:r>
      <w:r w:rsidRPr="00A95CB9">
        <w:rPr>
          <w:color w:val="000000"/>
          <w:szCs w:val="20"/>
        </w:rPr>
        <w:t xml:space="preserve"> fight hard</w:t>
      </w:r>
      <w:r>
        <w:rPr>
          <w:color w:val="000000"/>
          <w:szCs w:val="20"/>
        </w:rPr>
        <w:t>,</w:t>
      </w:r>
      <w:r w:rsidRPr="00A95CB9">
        <w:rPr>
          <w:color w:val="000000"/>
          <w:szCs w:val="20"/>
        </w:rPr>
        <w:t xml:space="preserve"> even after </w:t>
      </w:r>
      <w:r>
        <w:rPr>
          <w:color w:val="000000"/>
          <w:szCs w:val="20"/>
        </w:rPr>
        <w:t xml:space="preserve">being </w:t>
      </w:r>
      <w:r w:rsidRPr="00A95CB9">
        <w:rPr>
          <w:color w:val="000000"/>
          <w:szCs w:val="20"/>
        </w:rPr>
        <w:t xml:space="preserve">surrounded.  </w:t>
      </w:r>
      <w:r w:rsidR="005719FE">
        <w:rPr>
          <w:color w:val="000000"/>
          <w:szCs w:val="20"/>
        </w:rPr>
        <w:t>Because of this</w:t>
      </w:r>
      <w:r>
        <w:rPr>
          <w:color w:val="000000"/>
          <w:szCs w:val="20"/>
        </w:rPr>
        <w:t xml:space="preserve"> tenacity, the c</w:t>
      </w:r>
      <w:r w:rsidRPr="00A95CB9">
        <w:rPr>
          <w:color w:val="000000"/>
          <w:szCs w:val="20"/>
        </w:rPr>
        <w:t xml:space="preserve">ommander of </w:t>
      </w:r>
      <w:r>
        <w:rPr>
          <w:color w:val="000000"/>
          <w:szCs w:val="20"/>
        </w:rPr>
        <w:t xml:space="preserve">the </w:t>
      </w:r>
      <w:r w:rsidRPr="00A95CB9">
        <w:rPr>
          <w:color w:val="000000"/>
          <w:szCs w:val="20"/>
        </w:rPr>
        <w:t>18</w:t>
      </w:r>
      <w:r w:rsidRPr="00A95CB9">
        <w:rPr>
          <w:color w:val="000000"/>
          <w:szCs w:val="20"/>
          <w:vertAlign w:val="superscript"/>
        </w:rPr>
        <w:t>th</w:t>
      </w:r>
      <w:r>
        <w:rPr>
          <w:color w:val="000000"/>
          <w:szCs w:val="20"/>
        </w:rPr>
        <w:t xml:space="preserve"> panzer division advised </w:t>
      </w:r>
      <w:r w:rsidR="0063394E">
        <w:rPr>
          <w:color w:val="000000"/>
          <w:szCs w:val="20"/>
        </w:rPr>
        <w:t xml:space="preserve">the high command </w:t>
      </w:r>
      <w:r w:rsidR="005719FE">
        <w:rPr>
          <w:color w:val="000000"/>
          <w:szCs w:val="20"/>
        </w:rPr>
        <w:t xml:space="preserve">to take steps to reduce </w:t>
      </w:r>
      <w:r>
        <w:rPr>
          <w:color w:val="000000"/>
          <w:szCs w:val="20"/>
        </w:rPr>
        <w:t xml:space="preserve">casualties, </w:t>
      </w:r>
      <w:r w:rsidRPr="00A95CB9">
        <w:rPr>
          <w:color w:val="000000"/>
          <w:szCs w:val="20"/>
        </w:rPr>
        <w:t>“if we do not intend to win ourselves to death.”</w:t>
      </w:r>
      <w:r>
        <w:rPr>
          <w:rStyle w:val="FootnoteReference"/>
          <w:color w:val="000000"/>
          <w:szCs w:val="20"/>
        </w:rPr>
        <w:footnoteReference w:id="23"/>
      </w:r>
      <w:r w:rsidRPr="00A95CB9">
        <w:rPr>
          <w:color w:val="000000"/>
          <w:szCs w:val="20"/>
        </w:rPr>
        <w:t xml:space="preserve"> </w:t>
      </w:r>
    </w:p>
    <w:p w:rsidR="00705E9D" w:rsidRDefault="00203C65" w:rsidP="00705E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color w:val="000000"/>
          <w:szCs w:val="20"/>
        </w:rPr>
      </w:pPr>
      <w:r>
        <w:tab/>
        <w:t xml:space="preserve">The Germans found themselves in this increasingly uncomfortable position because they </w:t>
      </w:r>
      <w:r w:rsidR="0063394E">
        <w:t xml:space="preserve">had </w:t>
      </w:r>
      <w:r>
        <w:t>completely misunderstood the Russ</w:t>
      </w:r>
      <w:r w:rsidR="00937696">
        <w:t xml:space="preserve">ians’ hierarchy of preferences.  The German’s assumption was that both common soldier and mid-level officer had little inclination towards fighting.  When </w:t>
      </w:r>
      <w:r w:rsidR="00937696" w:rsidRPr="00A123E3">
        <w:t xml:space="preserve">confronted with superior forces, </w:t>
      </w:r>
      <w:r w:rsidR="00937696">
        <w:t>the anticipated preference</w:t>
      </w:r>
      <w:r w:rsidR="00937696" w:rsidRPr="00A123E3">
        <w:t xml:space="preserve"> of the Russian </w:t>
      </w:r>
      <w:r w:rsidR="00937696">
        <w:t>peasantry</w:t>
      </w:r>
      <w:r w:rsidR="00937696" w:rsidRPr="00A123E3">
        <w:t xml:space="preserve"> and</w:t>
      </w:r>
      <w:r w:rsidR="0063394E">
        <w:t xml:space="preserve"> the</w:t>
      </w:r>
      <w:r w:rsidR="00937696" w:rsidRPr="00A123E3">
        <w:t xml:space="preserve"> </w:t>
      </w:r>
      <w:r w:rsidR="0063394E">
        <w:t>urban workers</w:t>
      </w:r>
      <w:r w:rsidR="00937696" w:rsidRPr="00A123E3">
        <w:t xml:space="preserve"> who form</w:t>
      </w:r>
      <w:r w:rsidR="00937696">
        <w:t>ed</w:t>
      </w:r>
      <w:r w:rsidR="0063394E">
        <w:t xml:space="preserve"> the backbone of the Red Army</w:t>
      </w:r>
      <w:r w:rsidR="00937696">
        <w:t xml:space="preserve"> would be to flee.  </w:t>
      </w:r>
      <w:r>
        <w:t xml:space="preserve">By the time of </w:t>
      </w:r>
      <w:r w:rsidR="009F5232">
        <w:t>Smolensk</w:t>
      </w:r>
      <w:r>
        <w:t xml:space="preserve">, however, this had proven to be decidedly not the case.  </w:t>
      </w:r>
      <w:r w:rsidR="009A09D2">
        <w:t xml:space="preserve">Even more startling was </w:t>
      </w:r>
      <w:r w:rsidR="0063394E">
        <w:t xml:space="preserve">the </w:t>
      </w:r>
      <w:r w:rsidR="009A09D2">
        <w:t xml:space="preserve">mistaken German assumption that the </w:t>
      </w:r>
      <w:r>
        <w:t xml:space="preserve">Soviets would be unable to </w:t>
      </w:r>
      <w:r w:rsidR="009F5232" w:rsidRPr="00A95CB9">
        <w:rPr>
          <w:color w:val="000000"/>
          <w:szCs w:val="20"/>
        </w:rPr>
        <w:t>mobilize res</w:t>
      </w:r>
      <w:r>
        <w:rPr>
          <w:color w:val="000000"/>
          <w:szCs w:val="20"/>
        </w:rPr>
        <w:t>erves</w:t>
      </w:r>
      <w:r w:rsidR="009F5232" w:rsidRPr="00A95CB9">
        <w:rPr>
          <w:color w:val="000000"/>
          <w:szCs w:val="20"/>
        </w:rPr>
        <w:t>.</w:t>
      </w:r>
      <w:r w:rsidR="009A09D2">
        <w:rPr>
          <w:color w:val="000000"/>
          <w:szCs w:val="20"/>
        </w:rPr>
        <w:t xml:space="preserve">  Who would fight for the hated Communist banner, the thinking went.  As it turned out, far more than the Germans ever imag</w:t>
      </w:r>
      <w:r w:rsidR="005719FE">
        <w:rPr>
          <w:color w:val="000000"/>
          <w:szCs w:val="20"/>
        </w:rPr>
        <w:t>in</w:t>
      </w:r>
      <w:r w:rsidR="009A09D2">
        <w:rPr>
          <w:color w:val="000000"/>
          <w:szCs w:val="20"/>
        </w:rPr>
        <w:t>ed.  Indeed,</w:t>
      </w:r>
      <w:r w:rsidR="009F5232" w:rsidRPr="00A95CB9">
        <w:rPr>
          <w:color w:val="000000"/>
          <w:szCs w:val="20"/>
        </w:rPr>
        <w:t xml:space="preserve"> </w:t>
      </w:r>
      <w:r>
        <w:rPr>
          <w:color w:val="000000"/>
          <w:szCs w:val="20"/>
        </w:rPr>
        <w:t xml:space="preserve">the Red Army brought a stunning </w:t>
      </w:r>
      <w:r w:rsidR="009F5232" w:rsidRPr="00A95CB9">
        <w:rPr>
          <w:color w:val="000000"/>
          <w:szCs w:val="20"/>
        </w:rPr>
        <w:t>5.3</w:t>
      </w:r>
      <w:r>
        <w:rPr>
          <w:color w:val="000000"/>
          <w:szCs w:val="20"/>
        </w:rPr>
        <w:t xml:space="preserve"> </w:t>
      </w:r>
      <w:r w:rsidR="009F5232" w:rsidRPr="00A95CB9">
        <w:rPr>
          <w:color w:val="000000"/>
          <w:szCs w:val="20"/>
        </w:rPr>
        <w:t>mil</w:t>
      </w:r>
      <w:r>
        <w:rPr>
          <w:color w:val="000000"/>
          <w:szCs w:val="20"/>
        </w:rPr>
        <w:t xml:space="preserve">lion call-ups to the </w:t>
      </w:r>
      <w:proofErr w:type="spellStart"/>
      <w:r>
        <w:rPr>
          <w:color w:val="000000"/>
          <w:szCs w:val="20"/>
        </w:rPr>
        <w:t>colour</w:t>
      </w:r>
      <w:r w:rsidR="009A09D2">
        <w:rPr>
          <w:color w:val="000000"/>
          <w:szCs w:val="20"/>
        </w:rPr>
        <w:t>s</w:t>
      </w:r>
      <w:proofErr w:type="spellEnd"/>
      <w:r w:rsidR="009A09D2">
        <w:rPr>
          <w:color w:val="000000"/>
          <w:szCs w:val="20"/>
        </w:rPr>
        <w:t xml:space="preserve"> by the end of June 1941, and the fresh forces kept coming.  In </w:t>
      </w:r>
      <w:r>
        <w:rPr>
          <w:color w:val="000000"/>
          <w:szCs w:val="20"/>
        </w:rPr>
        <w:t xml:space="preserve">total, between the time of the invasion and Dec 31, 1941, the Soviets </w:t>
      </w:r>
      <w:r w:rsidR="009A09D2">
        <w:rPr>
          <w:color w:val="000000"/>
          <w:szCs w:val="20"/>
        </w:rPr>
        <w:t>raised</w:t>
      </w:r>
      <w:r w:rsidR="009F7152" w:rsidRPr="00A95CB9">
        <w:rPr>
          <w:color w:val="000000"/>
          <w:szCs w:val="20"/>
        </w:rPr>
        <w:t xml:space="preserve"> </w:t>
      </w:r>
      <w:r w:rsidR="00D647E8">
        <w:rPr>
          <w:color w:val="000000"/>
          <w:szCs w:val="20"/>
        </w:rPr>
        <w:t xml:space="preserve">an astounding </w:t>
      </w:r>
      <w:r w:rsidR="009F7152" w:rsidRPr="00A95CB9">
        <w:rPr>
          <w:color w:val="000000"/>
          <w:szCs w:val="20"/>
        </w:rPr>
        <w:t>821 div</w:t>
      </w:r>
      <w:r w:rsidR="009A09D2">
        <w:rPr>
          <w:color w:val="000000"/>
          <w:szCs w:val="20"/>
        </w:rPr>
        <w:t>isional</w:t>
      </w:r>
      <w:r w:rsidR="009F7152" w:rsidRPr="00A95CB9">
        <w:rPr>
          <w:color w:val="000000"/>
          <w:szCs w:val="20"/>
        </w:rPr>
        <w:t xml:space="preserve"> equivalents</w:t>
      </w:r>
      <w:r w:rsidR="009A09D2">
        <w:rPr>
          <w:color w:val="000000"/>
          <w:szCs w:val="20"/>
        </w:rPr>
        <w:t>.</w:t>
      </w:r>
      <w:r w:rsidR="009A09D2">
        <w:rPr>
          <w:rStyle w:val="FootnoteReference"/>
          <w:color w:val="000000"/>
          <w:szCs w:val="20"/>
        </w:rPr>
        <w:footnoteReference w:id="24"/>
      </w:r>
      <w:r w:rsidR="00D647E8">
        <w:rPr>
          <w:color w:val="000000"/>
          <w:szCs w:val="20"/>
        </w:rPr>
        <w:t xml:space="preserve">  As the war wore on, the Germans would rue the seemingly inexhaustible supply of Russian soldiers.</w:t>
      </w:r>
      <w:r w:rsidR="00D647E8">
        <w:rPr>
          <w:rStyle w:val="FootnoteReference"/>
          <w:color w:val="000000"/>
          <w:szCs w:val="20"/>
        </w:rPr>
        <w:footnoteReference w:id="25"/>
      </w:r>
      <w:r w:rsidR="009A09D2">
        <w:rPr>
          <w:color w:val="000000"/>
          <w:szCs w:val="20"/>
        </w:rPr>
        <w:t xml:space="preserve">  </w:t>
      </w:r>
    </w:p>
    <w:p w:rsidR="00B136F6" w:rsidRPr="00D647E8" w:rsidRDefault="00705E9D" w:rsidP="00D647E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szCs w:val="29"/>
        </w:rPr>
      </w:pPr>
      <w:r>
        <w:rPr>
          <w:color w:val="000000"/>
          <w:szCs w:val="20"/>
        </w:rPr>
        <w:tab/>
      </w:r>
      <w:r w:rsidR="005719FE">
        <w:rPr>
          <w:color w:val="000000"/>
          <w:szCs w:val="20"/>
        </w:rPr>
        <w:t>In no time</w:t>
      </w:r>
      <w:r w:rsidR="0063394E">
        <w:rPr>
          <w:color w:val="000000"/>
          <w:szCs w:val="20"/>
        </w:rPr>
        <w:t xml:space="preserve"> it became clear that not only would Russia fight, but so too would it fight hard.  </w:t>
      </w:r>
      <w:r w:rsidR="009A09D2">
        <w:rPr>
          <w:color w:val="000000"/>
          <w:szCs w:val="20"/>
        </w:rPr>
        <w:t xml:space="preserve">As the </w:t>
      </w:r>
      <w:r>
        <w:rPr>
          <w:color w:val="000000"/>
          <w:szCs w:val="20"/>
        </w:rPr>
        <w:t xml:space="preserve">Germans would </w:t>
      </w:r>
      <w:r w:rsidR="0063394E">
        <w:rPr>
          <w:color w:val="000000"/>
          <w:szCs w:val="20"/>
        </w:rPr>
        <w:t>learn to their great pain</w:t>
      </w:r>
      <w:r w:rsidR="009A09D2">
        <w:rPr>
          <w:color w:val="000000"/>
          <w:szCs w:val="20"/>
        </w:rPr>
        <w:t xml:space="preserve">, the </w:t>
      </w:r>
      <w:r w:rsidR="0063394E">
        <w:rPr>
          <w:color w:val="000000"/>
          <w:szCs w:val="20"/>
        </w:rPr>
        <w:t xml:space="preserve">foremost </w:t>
      </w:r>
      <w:r>
        <w:rPr>
          <w:color w:val="000000"/>
          <w:szCs w:val="20"/>
        </w:rPr>
        <w:t xml:space="preserve">preference of Russian society </w:t>
      </w:r>
      <w:r w:rsidR="0063394E">
        <w:rPr>
          <w:color w:val="000000"/>
          <w:szCs w:val="20"/>
        </w:rPr>
        <w:t xml:space="preserve">was not individual survival, but instead an intense desire to </w:t>
      </w:r>
      <w:r>
        <w:rPr>
          <w:color w:val="000000"/>
          <w:szCs w:val="20"/>
        </w:rPr>
        <w:t xml:space="preserve">throw off </w:t>
      </w:r>
      <w:r w:rsidR="0063394E">
        <w:rPr>
          <w:color w:val="000000"/>
          <w:szCs w:val="20"/>
        </w:rPr>
        <w:t>the yoke of the German invaders.  This preference remained central,</w:t>
      </w:r>
      <w:r>
        <w:rPr>
          <w:color w:val="000000"/>
          <w:szCs w:val="20"/>
        </w:rPr>
        <w:t xml:space="preserve"> even </w:t>
      </w:r>
      <w:r w:rsidR="0063394E">
        <w:rPr>
          <w:color w:val="000000"/>
          <w:szCs w:val="20"/>
        </w:rPr>
        <w:t>at the cost of</w:t>
      </w:r>
      <w:r>
        <w:rPr>
          <w:color w:val="000000"/>
          <w:szCs w:val="20"/>
        </w:rPr>
        <w:t xml:space="preserve"> 30 million </w:t>
      </w:r>
      <w:r w:rsidR="0063394E">
        <w:rPr>
          <w:color w:val="000000"/>
          <w:szCs w:val="20"/>
        </w:rPr>
        <w:t xml:space="preserve">lives </w:t>
      </w:r>
      <w:r>
        <w:rPr>
          <w:color w:val="000000"/>
          <w:szCs w:val="20"/>
        </w:rPr>
        <w:t xml:space="preserve">and the destruction of much of the country’s agricultural and industrial heartland.  Rather than meekly accepting Nazi </w:t>
      </w:r>
      <w:r w:rsidR="005719FE">
        <w:rPr>
          <w:color w:val="000000"/>
          <w:szCs w:val="20"/>
        </w:rPr>
        <w:t>rule</w:t>
      </w:r>
      <w:r>
        <w:rPr>
          <w:color w:val="000000"/>
          <w:szCs w:val="20"/>
        </w:rPr>
        <w:t>, the ‘Great Patriotic War’ became a war truly that</w:t>
      </w:r>
      <w:r w:rsidR="0063394E">
        <w:rPr>
          <w:color w:val="000000"/>
          <w:szCs w:val="20"/>
        </w:rPr>
        <w:t>.</w:t>
      </w:r>
      <w:r>
        <w:rPr>
          <w:rStyle w:val="FootnoteReference"/>
          <w:color w:val="000000"/>
          <w:szCs w:val="20"/>
        </w:rPr>
        <w:footnoteReference w:id="26"/>
      </w:r>
      <w:r>
        <w:rPr>
          <w:color w:val="000000"/>
          <w:szCs w:val="20"/>
        </w:rPr>
        <w:t xml:space="preserve">  As </w:t>
      </w:r>
      <w:proofErr w:type="spellStart"/>
      <w:r>
        <w:rPr>
          <w:color w:val="000000"/>
          <w:szCs w:val="20"/>
        </w:rPr>
        <w:t>Chuikov</w:t>
      </w:r>
      <w:proofErr w:type="spellEnd"/>
      <w:r>
        <w:rPr>
          <w:color w:val="000000"/>
          <w:szCs w:val="20"/>
        </w:rPr>
        <w:t xml:space="preserve">, victor of Stalingrad, </w:t>
      </w:r>
      <w:r w:rsidR="002032A4" w:rsidRPr="00A95CB9">
        <w:rPr>
          <w:szCs w:val="29"/>
        </w:rPr>
        <w:t xml:space="preserve">entrained for the </w:t>
      </w:r>
      <w:proofErr w:type="spellStart"/>
      <w:r w:rsidR="002032A4" w:rsidRPr="00A95CB9">
        <w:rPr>
          <w:szCs w:val="29"/>
        </w:rPr>
        <w:t>Donetz</w:t>
      </w:r>
      <w:proofErr w:type="spellEnd"/>
      <w:r w:rsidR="00AF773C">
        <w:rPr>
          <w:szCs w:val="29"/>
        </w:rPr>
        <w:t xml:space="preserve"> and more fighting with the Nazis</w:t>
      </w:r>
      <w:r w:rsidR="002032A4" w:rsidRPr="00A95CB9">
        <w:rPr>
          <w:szCs w:val="29"/>
        </w:rPr>
        <w:t xml:space="preserve">, he </w:t>
      </w:r>
      <w:r w:rsidR="002032A4" w:rsidRPr="00A123E3">
        <w:rPr>
          <w:szCs w:val="29"/>
        </w:rPr>
        <w:t>recalled thinking to himself: “Goodbye, Volga…</w:t>
      </w:r>
      <w:proofErr w:type="gramStart"/>
      <w:r w:rsidR="002032A4" w:rsidRPr="00A123E3">
        <w:rPr>
          <w:szCs w:val="29"/>
        </w:rPr>
        <w:t>.goodbye</w:t>
      </w:r>
      <w:proofErr w:type="gramEnd"/>
      <w:r w:rsidR="002032A4" w:rsidRPr="00A123E3">
        <w:rPr>
          <w:szCs w:val="29"/>
        </w:rPr>
        <w:t xml:space="preserve"> the tortured and devastated city.  Will we ever see you again and what will you be like?  Goodbye, our </w:t>
      </w:r>
      <w:proofErr w:type="gramStart"/>
      <w:r w:rsidR="002032A4" w:rsidRPr="00A123E3">
        <w:rPr>
          <w:szCs w:val="29"/>
        </w:rPr>
        <w:t>friends,</w:t>
      </w:r>
      <w:proofErr w:type="gramEnd"/>
      <w:r w:rsidR="002032A4" w:rsidRPr="00A123E3">
        <w:rPr>
          <w:szCs w:val="29"/>
        </w:rPr>
        <w:t xml:space="preserve"> lie in peace in the land soaked with the blood of our people.  We are going west and our duty is to avenge your deaths.”</w:t>
      </w:r>
      <w:r>
        <w:rPr>
          <w:rStyle w:val="FootnoteReference"/>
          <w:szCs w:val="29"/>
        </w:rPr>
        <w:footnoteReference w:id="27"/>
      </w:r>
      <w:r w:rsidR="0063394E">
        <w:rPr>
          <w:szCs w:val="29"/>
        </w:rPr>
        <w:t xml:space="preserve">  </w:t>
      </w:r>
      <w:r w:rsidR="00D647E8">
        <w:rPr>
          <w:szCs w:val="29"/>
        </w:rPr>
        <w:t>T</w:t>
      </w:r>
      <w:r w:rsidR="00937696">
        <w:rPr>
          <w:szCs w:val="29"/>
        </w:rPr>
        <w:t>hus t</w:t>
      </w:r>
      <w:r w:rsidR="00D647E8">
        <w:rPr>
          <w:szCs w:val="29"/>
        </w:rPr>
        <w:t>he chief l</w:t>
      </w:r>
      <w:r w:rsidR="00B136F6" w:rsidRPr="00A123E3">
        <w:t>esson of</w:t>
      </w:r>
      <w:r w:rsidR="005719FE">
        <w:t xml:space="preserve"> the</w:t>
      </w:r>
      <w:r w:rsidR="00B136F6" w:rsidRPr="00A123E3">
        <w:t xml:space="preserve"> </w:t>
      </w:r>
      <w:r w:rsidR="00B136F6" w:rsidRPr="00A123E3">
        <w:rPr>
          <w:i/>
        </w:rPr>
        <w:t>Barbarossa</w:t>
      </w:r>
      <w:r w:rsidR="00D647E8">
        <w:t xml:space="preserve"> case is</w:t>
      </w:r>
      <w:r w:rsidR="000B1382">
        <w:t xml:space="preserve"> that</w:t>
      </w:r>
      <w:r w:rsidR="00D647E8">
        <w:t xml:space="preserve"> </w:t>
      </w:r>
      <w:r w:rsidR="00937696">
        <w:t xml:space="preserve">rather than </w:t>
      </w:r>
      <w:r w:rsidR="0063394E">
        <w:t>the</w:t>
      </w:r>
      <w:r w:rsidR="00937696">
        <w:t xml:space="preserve"> aversion to fighting</w:t>
      </w:r>
      <w:r w:rsidR="0063394E">
        <w:t xml:space="preserve"> anticipated by the Germans</w:t>
      </w:r>
      <w:r w:rsidR="00937696">
        <w:t>, the Russian people instead</w:t>
      </w:r>
      <w:r w:rsidR="00B136F6" w:rsidRPr="00A123E3">
        <w:t xml:space="preserve"> </w:t>
      </w:r>
      <w:r w:rsidR="00D647E8">
        <w:t>proved wi</w:t>
      </w:r>
      <w:r w:rsidR="0063394E">
        <w:t xml:space="preserve">lling to endure depravations </w:t>
      </w:r>
      <w:r w:rsidR="00D647E8">
        <w:t xml:space="preserve">on an unimaginable scale, and </w:t>
      </w:r>
      <w:r w:rsidR="005719FE">
        <w:t xml:space="preserve">to </w:t>
      </w:r>
      <w:r w:rsidR="00D647E8">
        <w:t>do so</w:t>
      </w:r>
      <w:r w:rsidR="0063394E">
        <w:t xml:space="preserve"> for as much time as it took for</w:t>
      </w:r>
      <w:r w:rsidR="00D647E8">
        <w:t xml:space="preserve"> the nation’s sons </w:t>
      </w:r>
      <w:r w:rsidR="0063394E">
        <w:t>to cross</w:t>
      </w:r>
      <w:r w:rsidR="00937696">
        <w:t xml:space="preserve"> a devastated continent and </w:t>
      </w:r>
      <w:r w:rsidR="005719FE">
        <w:t>smash</w:t>
      </w:r>
      <w:r w:rsidR="00AF773C">
        <w:t xml:space="preserve"> </w:t>
      </w:r>
      <w:r w:rsidR="00D647E8">
        <w:t>their</w:t>
      </w:r>
      <w:r w:rsidR="00B136F6" w:rsidRPr="00A123E3">
        <w:t xml:space="preserve"> way to the </w:t>
      </w:r>
      <w:r w:rsidR="00D647E8">
        <w:t xml:space="preserve">German </w:t>
      </w:r>
      <w:r w:rsidR="00B136F6" w:rsidRPr="00A123E3">
        <w:t xml:space="preserve">Reichstag.  </w:t>
      </w:r>
    </w:p>
    <w:p w:rsidR="00054E0D" w:rsidRPr="00A123E3" w:rsidRDefault="00054E0D"/>
    <w:p w:rsidR="001C5FD6" w:rsidRPr="000D0B41" w:rsidRDefault="00A123E3">
      <w:pPr>
        <w:rPr>
          <w:i/>
        </w:rPr>
      </w:pPr>
      <w:r>
        <w:rPr>
          <w:i/>
        </w:rPr>
        <w:t xml:space="preserve">Japan’s </w:t>
      </w:r>
      <w:r w:rsidRPr="000D0B41">
        <w:rPr>
          <w:i/>
        </w:rPr>
        <w:t>Foolish Gamble</w:t>
      </w:r>
    </w:p>
    <w:p w:rsidR="00C04BD3" w:rsidRPr="00933104" w:rsidRDefault="00AF773C" w:rsidP="00933104">
      <w:pPr>
        <w:rPr>
          <w:color w:val="000000"/>
          <w:szCs w:val="20"/>
        </w:rPr>
      </w:pPr>
      <w:r w:rsidRPr="000D0B41">
        <w:tab/>
        <w:t xml:space="preserve">Similarly foolhardy were the assumptions Japan made regarding American preferences during the lead up to </w:t>
      </w:r>
      <w:r w:rsidR="00933104">
        <w:t>World War II</w:t>
      </w:r>
      <w:r w:rsidRPr="000D0B41">
        <w:t>.  From the outset, the Japanese were confident that the West could be cowed by a display</w:t>
      </w:r>
      <w:r w:rsidR="00C04BD3">
        <w:t xml:space="preserve"> of</w:t>
      </w:r>
      <w:r w:rsidRPr="000D0B41">
        <w:t xml:space="preserve"> military might and staunch solidarity with their Axis partners.</w:t>
      </w:r>
      <w:r w:rsidRPr="000D0B41">
        <w:rPr>
          <w:rStyle w:val="FootnoteReference"/>
        </w:rPr>
        <w:footnoteReference w:id="28"/>
      </w:r>
      <w:r w:rsidR="00C04BD3">
        <w:t xml:space="preserve">  </w:t>
      </w:r>
      <w:r w:rsidRPr="000D0B41">
        <w:t>Japanese forces therefore proceeded into southern Indochina</w:t>
      </w:r>
      <w:r w:rsidR="000D0B41" w:rsidRPr="000D0B41">
        <w:t xml:space="preserve"> in September 1940</w:t>
      </w:r>
      <w:r w:rsidR="00933104">
        <w:t>—</w:t>
      </w:r>
      <w:r w:rsidR="00C04BD3">
        <w:t>d</w:t>
      </w:r>
      <w:r w:rsidRPr="000D0B41">
        <w:t>espite war</w:t>
      </w:r>
      <w:r w:rsidR="00933104">
        <w:t xml:space="preserve">nings from America and Britain—under the assumption </w:t>
      </w:r>
      <w:r w:rsidR="00C04BD3">
        <w:t>they</w:t>
      </w:r>
      <w:r w:rsidRPr="000D0B41">
        <w:t xml:space="preserve"> “would get away with this act of aggression </w:t>
      </w:r>
      <w:r w:rsidR="00937696" w:rsidRPr="000D0B41">
        <w:rPr>
          <w:color w:val="000000"/>
          <w:szCs w:val="20"/>
        </w:rPr>
        <w:t>as easily as with previous ones.”</w:t>
      </w:r>
      <w:r w:rsidRPr="000D0B41">
        <w:rPr>
          <w:rStyle w:val="FootnoteReference"/>
          <w:color w:val="000000"/>
          <w:szCs w:val="20"/>
        </w:rPr>
        <w:footnoteReference w:id="29"/>
      </w:r>
      <w:r w:rsidR="000D0B41" w:rsidRPr="000D0B41">
        <w:rPr>
          <w:color w:val="000000"/>
          <w:szCs w:val="20"/>
        </w:rPr>
        <w:t xml:space="preserve">  Yet as the imperial government learned to </w:t>
      </w:r>
      <w:r w:rsidR="00C04BD3">
        <w:rPr>
          <w:color w:val="000000"/>
          <w:szCs w:val="20"/>
        </w:rPr>
        <w:t>its deep</w:t>
      </w:r>
      <w:r w:rsidR="000D0B41" w:rsidRPr="000D0B41">
        <w:rPr>
          <w:color w:val="000000"/>
          <w:szCs w:val="20"/>
        </w:rPr>
        <w:t xml:space="preserve"> consternation, the West would not prove so easily moved.  Instead, </w:t>
      </w:r>
      <w:r w:rsidR="000D0B41">
        <w:rPr>
          <w:color w:val="000000"/>
          <w:szCs w:val="20"/>
        </w:rPr>
        <w:t>it responded d</w:t>
      </w:r>
      <w:r w:rsidR="00933104">
        <w:rPr>
          <w:color w:val="000000"/>
          <w:szCs w:val="20"/>
        </w:rPr>
        <w:t xml:space="preserve">ecisively to Japan’s continued </w:t>
      </w:r>
      <w:r w:rsidR="00C04BD3">
        <w:t>b</w:t>
      </w:r>
      <w:r w:rsidR="000D0B41">
        <w:t>ellicosity.  All Japanese assets in the U</w:t>
      </w:r>
      <w:r w:rsidR="00933104">
        <w:t xml:space="preserve">nited </w:t>
      </w:r>
      <w:r w:rsidR="000D0B41">
        <w:t>S</w:t>
      </w:r>
      <w:r w:rsidR="00933104">
        <w:t>tates</w:t>
      </w:r>
      <w:r w:rsidR="000D0B41" w:rsidRPr="000D0B41">
        <w:t xml:space="preserve"> and in the British and Dutch empires were frozen in July 1941, denying Japan access to all foreign goods, including </w:t>
      </w:r>
      <w:r w:rsidR="00C04BD3">
        <w:t xml:space="preserve">oil.  </w:t>
      </w:r>
      <w:r w:rsidR="00C04BD3">
        <w:rPr>
          <w:color w:val="000000"/>
          <w:szCs w:val="20"/>
        </w:rPr>
        <w:t>“The sharp counter-measures of the United States and the United Kingdom came as a surprise to the extremists and threw the moderates into confusion.”</w:t>
      </w:r>
      <w:r w:rsidR="00C04BD3">
        <w:rPr>
          <w:rStyle w:val="FootnoteReference"/>
          <w:color w:val="000000"/>
          <w:szCs w:val="20"/>
        </w:rPr>
        <w:footnoteReference w:id="30"/>
      </w:r>
      <w:r w:rsidR="00C04BD3">
        <w:rPr>
          <w:color w:val="000000"/>
          <w:szCs w:val="20"/>
        </w:rPr>
        <w:t xml:space="preserve">  More importantly, the country was now left with just six months of aviation fuel.</w:t>
      </w:r>
      <w:r w:rsidR="004D53E9">
        <w:rPr>
          <w:rStyle w:val="FootnoteReference"/>
          <w:color w:val="000000"/>
          <w:szCs w:val="20"/>
        </w:rPr>
        <w:footnoteReference w:id="31"/>
      </w:r>
      <w:r w:rsidR="00C04BD3">
        <w:rPr>
          <w:color w:val="000000"/>
          <w:szCs w:val="20"/>
        </w:rPr>
        <w:t xml:space="preserve">  </w:t>
      </w:r>
      <w:r w:rsidR="00C04BD3">
        <w:t xml:space="preserve">By virtue of their miscalculation, the militarists had now been pushed into the inevitable position of either withdrawing from its hard-won empire in China, Indochina, and Manchukuo—in effect, an admission that the aggressive foreign policy of the last decade had been a failure—or striking out in an </w:t>
      </w:r>
      <w:r w:rsidR="00933104">
        <w:t>effort to conquer</w:t>
      </w:r>
      <w:r w:rsidR="00C04BD3" w:rsidRPr="00C04BD3">
        <w:t xml:space="preserve"> the key resource territories of the region.</w:t>
      </w:r>
      <w:r w:rsidR="00C04BD3">
        <w:t xml:space="preserve">  Neither option looked particularly palatable.</w:t>
      </w:r>
    </w:p>
    <w:p w:rsidR="00937696" w:rsidRDefault="00C04BD3" w:rsidP="004D53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000000"/>
          <w:szCs w:val="20"/>
        </w:rPr>
      </w:pPr>
      <w:r>
        <w:tab/>
        <w:t>Even so, the Japanese</w:t>
      </w:r>
      <w:r w:rsidR="004D53E9">
        <w:t xml:space="preserve"> were in a gambling mood.  S</w:t>
      </w:r>
      <w:r>
        <w:t xml:space="preserve">anctions had made </w:t>
      </w:r>
      <w:r w:rsidR="00937696">
        <w:rPr>
          <w:color w:val="000000"/>
          <w:szCs w:val="20"/>
        </w:rPr>
        <w:t xml:space="preserve">war </w:t>
      </w:r>
      <w:r>
        <w:rPr>
          <w:color w:val="000000"/>
          <w:szCs w:val="20"/>
        </w:rPr>
        <w:t>a</w:t>
      </w:r>
      <w:r w:rsidR="00937696">
        <w:rPr>
          <w:color w:val="000000"/>
          <w:szCs w:val="20"/>
        </w:rPr>
        <w:t xml:space="preserve"> reasonable, albeit dangerous, </w:t>
      </w:r>
      <w:r w:rsidR="00933104">
        <w:rPr>
          <w:color w:val="000000"/>
          <w:szCs w:val="20"/>
        </w:rPr>
        <w:t>course of action</w:t>
      </w:r>
      <w:r w:rsidR="00937696">
        <w:rPr>
          <w:color w:val="000000"/>
          <w:szCs w:val="20"/>
        </w:rPr>
        <w:t xml:space="preserve">.  </w:t>
      </w:r>
      <w:r>
        <w:rPr>
          <w:color w:val="000000"/>
          <w:szCs w:val="20"/>
        </w:rPr>
        <w:t>More important, however, was the confidence that if put into a position of relative weakness, the United States would not challenge J</w:t>
      </w:r>
      <w:r w:rsidR="004D53E9">
        <w:rPr>
          <w:color w:val="000000"/>
          <w:szCs w:val="20"/>
        </w:rPr>
        <w:t>ap</w:t>
      </w:r>
      <w:r w:rsidR="00B96597">
        <w:rPr>
          <w:color w:val="000000"/>
          <w:szCs w:val="20"/>
        </w:rPr>
        <w:t xml:space="preserve">anese hegemony in </w:t>
      </w:r>
      <w:r w:rsidR="00933104">
        <w:rPr>
          <w:color w:val="000000"/>
          <w:szCs w:val="20"/>
        </w:rPr>
        <w:t>Asia</w:t>
      </w:r>
      <w:r w:rsidR="00B96597">
        <w:rPr>
          <w:color w:val="000000"/>
          <w:szCs w:val="20"/>
        </w:rPr>
        <w:t>.  Japanese strategy therefore called for s</w:t>
      </w:r>
      <w:r w:rsidR="004D53E9">
        <w:rPr>
          <w:color w:val="000000"/>
          <w:szCs w:val="20"/>
        </w:rPr>
        <w:t>urprise air and naval attacks on US bases</w:t>
      </w:r>
      <w:r w:rsidR="00937696">
        <w:rPr>
          <w:color w:val="000000"/>
          <w:szCs w:val="20"/>
        </w:rPr>
        <w:t xml:space="preserve"> </w:t>
      </w:r>
      <w:r w:rsidR="004D53E9">
        <w:rPr>
          <w:color w:val="000000"/>
          <w:szCs w:val="20"/>
        </w:rPr>
        <w:t>in the P</w:t>
      </w:r>
      <w:r w:rsidR="00B96597">
        <w:rPr>
          <w:color w:val="000000"/>
          <w:szCs w:val="20"/>
        </w:rPr>
        <w:t>hilippines and Pearl Harbor, combined with</w:t>
      </w:r>
      <w:r w:rsidR="004D53E9">
        <w:rPr>
          <w:color w:val="000000"/>
          <w:szCs w:val="20"/>
        </w:rPr>
        <w:t xml:space="preserve"> a series of lightening offensives</w:t>
      </w:r>
      <w:r w:rsidR="00B96597">
        <w:rPr>
          <w:color w:val="000000"/>
          <w:szCs w:val="20"/>
        </w:rPr>
        <w:t xml:space="preserve"> against the coveted resource territories of the western Pacific Rim.  Together, these</w:t>
      </w:r>
      <w:r w:rsidR="004D53E9">
        <w:rPr>
          <w:color w:val="000000"/>
          <w:szCs w:val="20"/>
        </w:rPr>
        <w:t xml:space="preserve"> </w:t>
      </w:r>
      <w:r w:rsidR="00B96597">
        <w:rPr>
          <w:color w:val="000000"/>
          <w:szCs w:val="20"/>
        </w:rPr>
        <w:t>strikes w</w:t>
      </w:r>
      <w:r w:rsidR="00BA6D84">
        <w:rPr>
          <w:color w:val="000000"/>
          <w:szCs w:val="20"/>
        </w:rPr>
        <w:t xml:space="preserve">ere to </w:t>
      </w:r>
      <w:r w:rsidR="00B96597">
        <w:rPr>
          <w:color w:val="000000"/>
          <w:szCs w:val="20"/>
        </w:rPr>
        <w:t>establish a great empire</w:t>
      </w:r>
      <w:r w:rsidR="004D53E9">
        <w:rPr>
          <w:color w:val="000000"/>
          <w:szCs w:val="20"/>
        </w:rPr>
        <w:t>, rich in the strategic resources necessary to</w:t>
      </w:r>
      <w:r w:rsidR="00B96597">
        <w:rPr>
          <w:color w:val="000000"/>
          <w:szCs w:val="20"/>
        </w:rPr>
        <w:t xml:space="preserve"> </w:t>
      </w:r>
      <w:r w:rsidR="00BA6D84">
        <w:rPr>
          <w:color w:val="000000"/>
          <w:szCs w:val="20"/>
        </w:rPr>
        <w:t>expand Japan’s</w:t>
      </w:r>
      <w:r w:rsidR="00B96597">
        <w:rPr>
          <w:color w:val="000000"/>
          <w:szCs w:val="20"/>
        </w:rPr>
        <w:t xml:space="preserve"> deficient economy—</w:t>
      </w:r>
      <w:r w:rsidR="00BA6D84">
        <w:rPr>
          <w:color w:val="000000"/>
          <w:szCs w:val="20"/>
        </w:rPr>
        <w:t>including</w:t>
      </w:r>
      <w:r w:rsidR="00B96597">
        <w:rPr>
          <w:color w:val="000000"/>
          <w:szCs w:val="20"/>
        </w:rPr>
        <w:t xml:space="preserve"> </w:t>
      </w:r>
      <w:r w:rsidR="004D53E9">
        <w:rPr>
          <w:color w:val="000000"/>
          <w:szCs w:val="20"/>
        </w:rPr>
        <w:t>oil</w:t>
      </w:r>
      <w:r w:rsidR="00B96597">
        <w:rPr>
          <w:color w:val="000000"/>
          <w:szCs w:val="20"/>
        </w:rPr>
        <w:t xml:space="preserve">, rubber, bauxite, metals, and food—and </w:t>
      </w:r>
      <w:r w:rsidR="00EA48E8">
        <w:rPr>
          <w:color w:val="000000"/>
          <w:szCs w:val="20"/>
        </w:rPr>
        <w:t>incorporating the</w:t>
      </w:r>
      <w:r w:rsidR="00B96597">
        <w:rPr>
          <w:color w:val="000000"/>
          <w:szCs w:val="20"/>
        </w:rPr>
        <w:t xml:space="preserve"> geographic</w:t>
      </w:r>
      <w:r w:rsidR="00EA48E8">
        <w:rPr>
          <w:color w:val="000000"/>
          <w:szCs w:val="20"/>
        </w:rPr>
        <w:t xml:space="preserve"> links of a security</w:t>
      </w:r>
      <w:r w:rsidR="00B96597">
        <w:rPr>
          <w:color w:val="000000"/>
          <w:szCs w:val="20"/>
        </w:rPr>
        <w:t xml:space="preserve"> </w:t>
      </w:r>
      <w:r w:rsidR="0072625D">
        <w:rPr>
          <w:color w:val="000000"/>
          <w:szCs w:val="20"/>
        </w:rPr>
        <w:t>barrier</w:t>
      </w:r>
      <w:r w:rsidR="00B96597">
        <w:rPr>
          <w:color w:val="000000"/>
          <w:szCs w:val="20"/>
        </w:rPr>
        <w:t xml:space="preserve">, </w:t>
      </w:r>
      <w:r w:rsidR="00EA48E8">
        <w:rPr>
          <w:color w:val="000000"/>
          <w:szCs w:val="20"/>
        </w:rPr>
        <w:t xml:space="preserve">far from the Japanese homeland and </w:t>
      </w:r>
      <w:r w:rsidR="00B96597">
        <w:rPr>
          <w:color w:val="000000"/>
          <w:szCs w:val="20"/>
        </w:rPr>
        <w:t>from which enemy forces could be held</w:t>
      </w:r>
      <w:r w:rsidR="00BA6D84">
        <w:rPr>
          <w:color w:val="000000"/>
          <w:szCs w:val="20"/>
        </w:rPr>
        <w:t xml:space="preserve"> at bay</w:t>
      </w:r>
      <w:r w:rsidR="00B96597">
        <w:rPr>
          <w:color w:val="000000"/>
          <w:szCs w:val="20"/>
        </w:rPr>
        <w:t>.  F</w:t>
      </w:r>
      <w:r w:rsidR="004D53E9">
        <w:rPr>
          <w:color w:val="000000"/>
          <w:szCs w:val="20"/>
        </w:rPr>
        <w:t>rom</w:t>
      </w:r>
      <w:r w:rsidR="00B96597">
        <w:rPr>
          <w:color w:val="000000"/>
          <w:szCs w:val="20"/>
        </w:rPr>
        <w:t xml:space="preserve"> this unassailable position </w:t>
      </w:r>
      <w:r w:rsidR="004D53E9">
        <w:rPr>
          <w:color w:val="000000"/>
          <w:szCs w:val="20"/>
        </w:rPr>
        <w:t xml:space="preserve">Japan could </w:t>
      </w:r>
      <w:r w:rsidR="00933104">
        <w:rPr>
          <w:color w:val="000000"/>
          <w:szCs w:val="20"/>
        </w:rPr>
        <w:t xml:space="preserve">then </w:t>
      </w:r>
      <w:r w:rsidR="004D53E9">
        <w:rPr>
          <w:color w:val="000000"/>
          <w:szCs w:val="20"/>
        </w:rPr>
        <w:t>negotiate a peace that left</w:t>
      </w:r>
      <w:r w:rsidR="00937696">
        <w:rPr>
          <w:color w:val="000000"/>
          <w:szCs w:val="20"/>
        </w:rPr>
        <w:t xml:space="preserve"> </w:t>
      </w:r>
      <w:r w:rsidR="00B96597">
        <w:rPr>
          <w:color w:val="000000"/>
          <w:szCs w:val="20"/>
        </w:rPr>
        <w:t>her a</w:t>
      </w:r>
      <w:r w:rsidR="00937696">
        <w:rPr>
          <w:color w:val="000000"/>
          <w:szCs w:val="20"/>
        </w:rPr>
        <w:t xml:space="preserve"> substantial portion of her gains an</w:t>
      </w:r>
      <w:r w:rsidR="00933104">
        <w:rPr>
          <w:color w:val="000000"/>
          <w:szCs w:val="20"/>
        </w:rPr>
        <w:t>d a dominant position in East</w:t>
      </w:r>
      <w:r w:rsidR="00937696">
        <w:rPr>
          <w:color w:val="000000"/>
          <w:szCs w:val="20"/>
        </w:rPr>
        <w:t xml:space="preserve"> Asia.</w:t>
      </w:r>
      <w:r w:rsidR="004D53E9">
        <w:rPr>
          <w:rStyle w:val="FootnoteReference"/>
          <w:color w:val="000000"/>
          <w:szCs w:val="20"/>
        </w:rPr>
        <w:footnoteReference w:id="32"/>
      </w:r>
      <w:r w:rsidR="00937696">
        <w:rPr>
          <w:color w:val="000000"/>
          <w:szCs w:val="20"/>
        </w:rPr>
        <w:t xml:space="preserve"> </w:t>
      </w:r>
    </w:p>
    <w:p w:rsidR="00E578DB" w:rsidRDefault="004D53E9" w:rsidP="004D53E9">
      <w:pPr>
        <w:ind w:firstLine="566"/>
        <w:rPr>
          <w:color w:val="000000"/>
          <w:szCs w:val="20"/>
        </w:rPr>
      </w:pPr>
      <w:r>
        <w:rPr>
          <w:color w:val="000000"/>
          <w:szCs w:val="20"/>
        </w:rPr>
        <w:t xml:space="preserve">The chief problem of such a plan is that it completely </w:t>
      </w:r>
      <w:r w:rsidR="00612942">
        <w:rPr>
          <w:color w:val="000000"/>
          <w:szCs w:val="20"/>
        </w:rPr>
        <w:t>misjud</w:t>
      </w:r>
      <w:r>
        <w:rPr>
          <w:color w:val="000000"/>
          <w:szCs w:val="20"/>
        </w:rPr>
        <w:t>ged</w:t>
      </w:r>
      <w:r w:rsidR="00612942">
        <w:rPr>
          <w:color w:val="000000"/>
          <w:szCs w:val="20"/>
        </w:rPr>
        <w:t xml:space="preserve"> t</w:t>
      </w:r>
      <w:r>
        <w:rPr>
          <w:color w:val="000000"/>
          <w:szCs w:val="20"/>
        </w:rPr>
        <w:t>he temper of the United States.  Rather than set the Japanese on a course for relatively amicable negotiation, the surprise attack</w:t>
      </w:r>
      <w:r w:rsidR="00EA48E8">
        <w:rPr>
          <w:color w:val="000000"/>
          <w:szCs w:val="20"/>
        </w:rPr>
        <w:t>s</w:t>
      </w:r>
      <w:r>
        <w:rPr>
          <w:color w:val="000000"/>
          <w:szCs w:val="20"/>
        </w:rPr>
        <w:t xml:space="preserve"> unleashed a fury within the American people.</w:t>
      </w:r>
      <w:r w:rsidR="00E578DB">
        <w:rPr>
          <w:color w:val="000000"/>
          <w:szCs w:val="20"/>
        </w:rPr>
        <w:t xml:space="preserve">  The stiffening resolve witnessed after the </w:t>
      </w:r>
      <w:r w:rsidR="00933104">
        <w:rPr>
          <w:color w:val="000000"/>
          <w:szCs w:val="20"/>
        </w:rPr>
        <w:t>invasion of</w:t>
      </w:r>
      <w:r w:rsidR="00E578DB">
        <w:rPr>
          <w:color w:val="000000"/>
          <w:szCs w:val="20"/>
        </w:rPr>
        <w:t xml:space="preserve"> Indochina in 1940 paled in comparison to the appetite for total war that </w:t>
      </w:r>
      <w:r w:rsidR="00EA48E8">
        <w:rPr>
          <w:color w:val="000000"/>
          <w:szCs w:val="20"/>
        </w:rPr>
        <w:t xml:space="preserve">now </w:t>
      </w:r>
      <w:r w:rsidR="00E578DB">
        <w:rPr>
          <w:color w:val="000000"/>
          <w:szCs w:val="20"/>
        </w:rPr>
        <w:t xml:space="preserve">consumed the US body politic—an ordering of war preferences completely opposite to what Japanese planners </w:t>
      </w:r>
      <w:r w:rsidR="00EA48E8">
        <w:rPr>
          <w:color w:val="000000"/>
          <w:szCs w:val="20"/>
        </w:rPr>
        <w:t xml:space="preserve">had </w:t>
      </w:r>
      <w:r w:rsidR="00E578DB">
        <w:rPr>
          <w:color w:val="000000"/>
          <w:szCs w:val="20"/>
        </w:rPr>
        <w:t xml:space="preserve">anticipated.  More specifically,   </w:t>
      </w:r>
      <w:r>
        <w:rPr>
          <w:color w:val="000000"/>
          <w:szCs w:val="20"/>
        </w:rPr>
        <w:t xml:space="preserve">  </w:t>
      </w:r>
    </w:p>
    <w:p w:rsidR="00E578DB" w:rsidRDefault="00E578DB" w:rsidP="00E578DB">
      <w:pPr>
        <w:ind w:left="566"/>
        <w:rPr>
          <w:color w:val="000000"/>
          <w:szCs w:val="20"/>
        </w:rPr>
      </w:pPr>
      <w:r>
        <w:rPr>
          <w:color w:val="000000"/>
          <w:szCs w:val="20"/>
        </w:rPr>
        <w:t>“</w:t>
      </w:r>
      <w:r w:rsidR="00612942">
        <w:rPr>
          <w:color w:val="000000"/>
          <w:szCs w:val="20"/>
        </w:rPr>
        <w:t>The Japanese army had persuaded the Japanese people that the democratic states were materialistic, irresolute, incapable of matching the unique Japanese spirit.  They had argued, not without some plausibility, that the U</w:t>
      </w:r>
      <w:r w:rsidR="004D53E9">
        <w:rPr>
          <w:color w:val="000000"/>
          <w:szCs w:val="20"/>
        </w:rPr>
        <w:t>nit</w:t>
      </w:r>
      <w:r w:rsidR="00612942">
        <w:rPr>
          <w:color w:val="000000"/>
          <w:szCs w:val="20"/>
        </w:rPr>
        <w:t>ed States had for a decade or more shown a strong aversion to protecting its interests in the Far East by war-like measures, despite repeated provocation.  They inferred that those interests were not regarded as of vital importance and that consequently in the long run a spirit of compromise would prevail.</w:t>
      </w:r>
      <w:r>
        <w:rPr>
          <w:color w:val="000000"/>
          <w:szCs w:val="20"/>
        </w:rPr>
        <w:t>”</w:t>
      </w:r>
      <w:r>
        <w:rPr>
          <w:rStyle w:val="FootnoteReference"/>
          <w:color w:val="000000"/>
          <w:szCs w:val="20"/>
        </w:rPr>
        <w:footnoteReference w:id="33"/>
      </w:r>
    </w:p>
    <w:p w:rsidR="00CC6ECB" w:rsidRPr="00871845" w:rsidRDefault="00E578DB">
      <w:pPr>
        <w:rPr>
          <w:color w:val="000000"/>
          <w:szCs w:val="20"/>
        </w:rPr>
      </w:pPr>
      <w:r>
        <w:rPr>
          <w:color w:val="000000"/>
          <w:szCs w:val="20"/>
        </w:rPr>
        <w:t xml:space="preserve">As Sansom observes, the Japanese appear to have been </w:t>
      </w:r>
      <w:r w:rsidR="00612942">
        <w:rPr>
          <w:color w:val="000000"/>
          <w:szCs w:val="20"/>
        </w:rPr>
        <w:t xml:space="preserve">deceived by </w:t>
      </w:r>
      <w:proofErr w:type="gramStart"/>
      <w:r>
        <w:rPr>
          <w:color w:val="000000"/>
          <w:szCs w:val="20"/>
        </w:rPr>
        <w:t>t</w:t>
      </w:r>
      <w:r w:rsidR="00661A8B">
        <w:rPr>
          <w:color w:val="000000"/>
          <w:szCs w:val="20"/>
        </w:rPr>
        <w:t>heir own</w:t>
      </w:r>
      <w:proofErr w:type="gramEnd"/>
      <w:r w:rsidR="00661A8B">
        <w:rPr>
          <w:color w:val="000000"/>
          <w:szCs w:val="20"/>
        </w:rPr>
        <w:t xml:space="preserve"> propaganda, for the United States showed </w:t>
      </w:r>
      <w:r w:rsidR="00EA48E8">
        <w:rPr>
          <w:color w:val="000000"/>
          <w:szCs w:val="20"/>
        </w:rPr>
        <w:t>no</w:t>
      </w:r>
      <w:r w:rsidR="00661A8B">
        <w:rPr>
          <w:color w:val="000000"/>
          <w:szCs w:val="20"/>
        </w:rPr>
        <w:t xml:space="preserve"> disposition to compromise</w:t>
      </w:r>
      <w:r w:rsidR="00933104">
        <w:rPr>
          <w:color w:val="000000"/>
          <w:szCs w:val="20"/>
        </w:rPr>
        <w:t xml:space="preserve"> whatsoever</w:t>
      </w:r>
      <w:r w:rsidR="00661A8B">
        <w:rPr>
          <w:color w:val="000000"/>
          <w:szCs w:val="20"/>
        </w:rPr>
        <w:t xml:space="preserve">.  Instead, </w:t>
      </w:r>
      <w:r>
        <w:rPr>
          <w:color w:val="000000"/>
          <w:szCs w:val="20"/>
        </w:rPr>
        <w:t>America devoted itself wholesale to the war</w:t>
      </w:r>
      <w:r w:rsidR="00661A8B">
        <w:rPr>
          <w:color w:val="000000"/>
          <w:szCs w:val="20"/>
        </w:rPr>
        <w:t xml:space="preserve"> effort, achieving a degree of manpower and </w:t>
      </w:r>
      <w:r w:rsidR="00933104">
        <w:rPr>
          <w:color w:val="000000"/>
          <w:szCs w:val="20"/>
        </w:rPr>
        <w:t>economic</w:t>
      </w:r>
      <w:r w:rsidR="00661A8B">
        <w:rPr>
          <w:color w:val="000000"/>
          <w:szCs w:val="20"/>
        </w:rPr>
        <w:t xml:space="preserve"> mobilization that Japan simply could not match.  By </w:t>
      </w:r>
      <w:r w:rsidRPr="00B874CD">
        <w:t>1943,</w:t>
      </w:r>
      <w:r w:rsidR="00661A8B">
        <w:t xml:space="preserve"> for example,</w:t>
      </w:r>
      <w:r w:rsidRPr="00B874CD">
        <w:t xml:space="preserve"> the US</w:t>
      </w:r>
      <w:r w:rsidR="00661A8B">
        <w:t xml:space="preserve"> was producing ten times as many </w:t>
      </w:r>
      <w:r w:rsidRPr="00B874CD">
        <w:t xml:space="preserve">combat naval vessels as Japan and Germany </w:t>
      </w:r>
      <w:r w:rsidR="00EA48E8">
        <w:t xml:space="preserve">put </w:t>
      </w:r>
      <w:r w:rsidRPr="00B874CD">
        <w:t>together.</w:t>
      </w:r>
      <w:r w:rsidR="00661A8B">
        <w:rPr>
          <w:rStyle w:val="FootnoteReference"/>
        </w:rPr>
        <w:footnoteReference w:id="34"/>
      </w:r>
      <w:r w:rsidRPr="00E578DB">
        <w:t xml:space="preserve"> </w:t>
      </w:r>
      <w:r w:rsidR="00EA48E8">
        <w:t xml:space="preserve"> </w:t>
      </w:r>
      <w:proofErr w:type="gramStart"/>
      <w:r w:rsidR="00EA48E8">
        <w:t>Once again, so</w:t>
      </w:r>
      <w:r w:rsidR="00DA306A">
        <w:t xml:space="preserve"> much </w:t>
      </w:r>
      <w:r w:rsidR="00104B9D">
        <w:t>for an unwillingness to fight.</w:t>
      </w:r>
      <w:proofErr w:type="gramEnd"/>
    </w:p>
    <w:p w:rsidR="00AF5FEC" w:rsidRPr="00B9526E" w:rsidRDefault="00AF5FEC"/>
    <w:p w:rsidR="00AF773C" w:rsidRDefault="00AF773C">
      <w:pPr>
        <w:rPr>
          <w:u w:val="single"/>
        </w:rPr>
      </w:pPr>
    </w:p>
    <w:p w:rsidR="00AF5FEC" w:rsidRPr="00AF773C" w:rsidRDefault="00AF773C">
      <w:pPr>
        <w:rPr>
          <w:b/>
          <w:u w:val="single"/>
        </w:rPr>
      </w:pPr>
      <w:r w:rsidRPr="00AF773C">
        <w:rPr>
          <w:u w:val="single"/>
        </w:rPr>
        <w:t xml:space="preserve">3.0 </w:t>
      </w:r>
      <w:r w:rsidRPr="00AF773C">
        <w:rPr>
          <w:b/>
          <w:u w:val="single"/>
        </w:rPr>
        <w:t xml:space="preserve">The </w:t>
      </w:r>
      <w:r w:rsidR="003F37E7">
        <w:rPr>
          <w:b/>
          <w:u w:val="single"/>
        </w:rPr>
        <w:t>Promise of Cultural Understanding</w:t>
      </w:r>
    </w:p>
    <w:p w:rsidR="00297103" w:rsidRDefault="00297103"/>
    <w:p w:rsidR="00AF31F9" w:rsidRPr="00297103" w:rsidRDefault="00297103">
      <w:pPr>
        <w:rPr>
          <w:i/>
        </w:rPr>
      </w:pPr>
      <w:r>
        <w:rPr>
          <w:i/>
        </w:rPr>
        <w:t>Getting Preferences Right</w:t>
      </w:r>
    </w:p>
    <w:p w:rsidR="009D2FC4" w:rsidRPr="00A9395B" w:rsidRDefault="003F37E7">
      <w:r>
        <w:tab/>
        <w:t xml:space="preserve">The most obvious question this paper raises is whether or not a more careful consideration of the preferences of Russia and the United States would have </w:t>
      </w:r>
      <w:r w:rsidR="00297103">
        <w:t>ensured</w:t>
      </w:r>
      <w:r>
        <w:t xml:space="preserve"> </w:t>
      </w:r>
      <w:r w:rsidR="00EA48E8">
        <w:t>more successful</w:t>
      </w:r>
      <w:r>
        <w:t xml:space="preserve"> strategic outcomes</w:t>
      </w:r>
      <w:r w:rsidR="00933104">
        <w:t xml:space="preserve"> for their great rivals</w:t>
      </w:r>
      <w:r>
        <w:t xml:space="preserve">.  </w:t>
      </w:r>
      <w:r w:rsidR="00297103">
        <w:t xml:space="preserve">It was, after all, more than cultural misunderstanding that doomed </w:t>
      </w:r>
      <w:r>
        <w:t xml:space="preserve">Germany’s </w:t>
      </w:r>
      <w:r w:rsidR="00297103">
        <w:t xml:space="preserve">march on Moscow.  The potency of the </w:t>
      </w:r>
      <w:r w:rsidR="00297103">
        <w:rPr>
          <w:i/>
        </w:rPr>
        <w:t>blitzkrieg</w:t>
      </w:r>
      <w:r w:rsidR="00297103">
        <w:t xml:space="preserve"> was </w:t>
      </w:r>
      <w:r w:rsidR="00EA48E8">
        <w:t xml:space="preserve">also </w:t>
      </w:r>
      <w:r w:rsidRPr="009E6E75">
        <w:t xml:space="preserve">deeply undermined by the army’s dreadfully inadequate </w:t>
      </w:r>
      <w:r>
        <w:t>transport, repair, and</w:t>
      </w:r>
      <w:r w:rsidR="00933104">
        <w:t xml:space="preserve"> </w:t>
      </w:r>
      <w:r w:rsidRPr="009E6E75">
        <w:t>basic intelligence support services.</w:t>
      </w:r>
      <w:r w:rsidRPr="009E6E75">
        <w:rPr>
          <w:rStyle w:val="FootnoteReference"/>
        </w:rPr>
        <w:footnoteReference w:id="35"/>
      </w:r>
      <w:r w:rsidR="00297103">
        <w:t xml:space="preserve">  These failings would have hamstrung German efforts even if their </w:t>
      </w:r>
      <w:r w:rsidR="00EA48E8">
        <w:t>grasp</w:t>
      </w:r>
      <w:r w:rsidR="00297103">
        <w:t xml:space="preserve"> of Russian preferences </w:t>
      </w:r>
      <w:proofErr w:type="gramStart"/>
      <w:r w:rsidR="00297103">
        <w:t>was</w:t>
      </w:r>
      <w:proofErr w:type="gramEnd"/>
      <w:r w:rsidR="00297103">
        <w:t xml:space="preserve"> properly ordered.  Moreover, what if </w:t>
      </w:r>
      <w:r w:rsidR="00933104">
        <w:t xml:space="preserve">even </w:t>
      </w:r>
      <w:r w:rsidR="00297103">
        <w:t>the most acute analysis of an enemy’s culture and its concomitant values is unable to uncover a proper appreciation of how a belligerent will respond when it actually</w:t>
      </w:r>
      <w:r w:rsidR="009D2FC4">
        <w:t xml:space="preserve"> comes to blows?  The United States, for example, sat idly by as Japan swallowed ever-greater portions of the Chinese mainland.  Consequently, how unreasonable was it to assume that America would d</w:t>
      </w:r>
      <w:r w:rsidR="00933104">
        <w:t>efer</w:t>
      </w:r>
      <w:r w:rsidR="009D2FC4">
        <w:t xml:space="preserve"> </w:t>
      </w:r>
      <w:r w:rsidR="00933104">
        <w:t>to the Japanese</w:t>
      </w:r>
      <w:r w:rsidR="009D2FC4">
        <w:t>,</w:t>
      </w:r>
      <w:r w:rsidR="00933104">
        <w:t xml:space="preserve"> given that the possessions involved were</w:t>
      </w:r>
      <w:r w:rsidR="009D2FC4">
        <w:t xml:space="preserve"> located</w:t>
      </w:r>
      <w:r w:rsidR="00EA48E8">
        <w:t xml:space="preserve"> at</w:t>
      </w:r>
      <w:r w:rsidR="00933104">
        <w:t xml:space="preserve"> such</w:t>
      </w:r>
      <w:r w:rsidR="00EA48E8">
        <w:t xml:space="preserve"> great distance</w:t>
      </w:r>
      <w:r w:rsidR="00933104">
        <w:t xml:space="preserve"> from the US mainland?  </w:t>
      </w:r>
      <w:r w:rsidR="00297103">
        <w:t>Both</w:t>
      </w:r>
      <w:r w:rsidR="009D2FC4">
        <w:t xml:space="preserve"> possib</w:t>
      </w:r>
      <w:r w:rsidR="009D2FC4" w:rsidRPr="00A9395B">
        <w:t>ilities</w:t>
      </w:r>
      <w:r w:rsidR="00933104">
        <w:t xml:space="preserve"> therefore </w:t>
      </w:r>
      <w:r w:rsidR="009D2FC4" w:rsidRPr="00A9395B">
        <w:t>raise concern that a search for cultural understand</w:t>
      </w:r>
      <w:r w:rsidR="00DA306A" w:rsidRPr="00A9395B">
        <w:t>ing</w:t>
      </w:r>
      <w:r w:rsidR="00EA48E8">
        <w:t xml:space="preserve"> is either fruitless, irrelevant, or both.</w:t>
      </w:r>
    </w:p>
    <w:p w:rsidR="00A9395B" w:rsidRPr="00A9395B" w:rsidRDefault="009D2FC4" w:rsidP="00A9395B">
      <w:r w:rsidRPr="00A9395B">
        <w:tab/>
        <w:t xml:space="preserve">The rebuttal to </w:t>
      </w:r>
      <w:r w:rsidR="00933104">
        <w:t>such wariness</w:t>
      </w:r>
      <w:r w:rsidRPr="00A9395B">
        <w:t xml:space="preserve"> is straightforward.  In both cases there was an abundance of evidence suggesting that the assumptions of the German and Japanese high commands were fundamentally flawed.</w:t>
      </w:r>
      <w:r w:rsidR="00CB5658" w:rsidRPr="00A9395B">
        <w:t xml:space="preserve">  Regarding the former, the </w:t>
      </w:r>
      <w:proofErr w:type="spellStart"/>
      <w:r w:rsidR="00CB5658" w:rsidRPr="00A9395B">
        <w:rPr>
          <w:i/>
        </w:rPr>
        <w:t>Wehrmacht</w:t>
      </w:r>
      <w:r w:rsidR="00CB5658" w:rsidRPr="00A9395B">
        <w:t>’s</w:t>
      </w:r>
      <w:proofErr w:type="spellEnd"/>
      <w:r w:rsidR="00CB5658" w:rsidRPr="00A9395B">
        <w:t xml:space="preserve"> assumption that the Russians would put up little fight is inexplicable given the country’s long and violent history.  Foreign invasion is not new to Russia, and each time it happens great numbers flock </w:t>
      </w:r>
      <w:r w:rsidR="00E4775D">
        <w:t>to meet the invader</w:t>
      </w:r>
      <w:r w:rsidR="00CB5658" w:rsidRPr="00A9395B">
        <w:t xml:space="preserve"> head on.  Nor does such patriotism disappear after first contact with the enemy.  Napoleon’s c</w:t>
      </w:r>
      <w:r w:rsidR="00933104">
        <w:t>old retreat</w:t>
      </w:r>
      <w:r w:rsidR="00CB5658" w:rsidRPr="00A9395B">
        <w:t xml:space="preserve"> through the despoiled Belorussian countryside </w:t>
      </w:r>
      <w:proofErr w:type="gramStart"/>
      <w:r w:rsidR="00CB5658" w:rsidRPr="00A9395B">
        <w:t>stands</w:t>
      </w:r>
      <w:proofErr w:type="gramEnd"/>
      <w:r w:rsidR="00CB5658" w:rsidRPr="00A9395B">
        <w:t xml:space="preserve"> as a testament to the d</w:t>
      </w:r>
      <w:r w:rsidR="00E4775D">
        <w:t xml:space="preserve">eprivations Russian society is </w:t>
      </w:r>
      <w:r w:rsidR="00CB5658" w:rsidRPr="00A9395B">
        <w:t>willing to endure</w:t>
      </w:r>
      <w:r w:rsidR="00E4775D">
        <w:t xml:space="preserve"> when national survival is the goal</w:t>
      </w:r>
      <w:r w:rsidR="00CB5658" w:rsidRPr="00A9395B">
        <w:t xml:space="preserve">.  The same can be said of the Great War, where despite widespread officer incompetence and an economy unprepared for the demands of </w:t>
      </w:r>
      <w:r w:rsidR="00933104">
        <w:t>an industrial war</w:t>
      </w:r>
      <w:r w:rsidR="00CB5658" w:rsidRPr="00A9395B">
        <w:t>, the Russian army survived a succession of calamitous defeats and continued to fight hard until well into 1917—a year which, it should be noted, saw the French army, long regarded as one of the finest of the age, be</w:t>
      </w:r>
      <w:r w:rsidR="00E4775D">
        <w:t>gin</w:t>
      </w:r>
      <w:r w:rsidR="00CB5658" w:rsidRPr="00A9395B">
        <w:t xml:space="preserve"> to crack as well.</w:t>
      </w:r>
      <w:r w:rsidR="00CB5658" w:rsidRPr="00A9395B">
        <w:rPr>
          <w:rStyle w:val="FootnoteReference"/>
        </w:rPr>
        <w:footnoteReference w:id="36"/>
      </w:r>
      <w:r w:rsidR="00CB5658" w:rsidRPr="00A9395B">
        <w:t xml:space="preserve">  What the Germans </w:t>
      </w:r>
      <w:r w:rsidR="00E4775D">
        <w:t xml:space="preserve">therefore </w:t>
      </w:r>
      <w:r w:rsidR="00CB5658" w:rsidRPr="00A9395B">
        <w:t xml:space="preserve">utterly failed to appreciate was that if the common Russian soldier was willing to go to such </w:t>
      </w:r>
      <w:r w:rsidR="00DA306A" w:rsidRPr="00A9395B">
        <w:t>lengths</w:t>
      </w:r>
      <w:r w:rsidR="00CB5658" w:rsidRPr="00A9395B">
        <w:t xml:space="preserve"> in the service of the </w:t>
      </w:r>
      <w:r w:rsidR="00A9395B">
        <w:t>unpopular</w:t>
      </w:r>
      <w:r w:rsidR="00CB5658" w:rsidRPr="00A9395B">
        <w:t xml:space="preserve"> </w:t>
      </w:r>
      <w:r w:rsidR="00A9395B">
        <w:t>Romanovs</w:t>
      </w:r>
      <w:r w:rsidR="00CB5658" w:rsidRPr="00A9395B">
        <w:t xml:space="preserve">, the same </w:t>
      </w:r>
      <w:r w:rsidR="00A9395B">
        <w:t>c</w:t>
      </w:r>
      <w:r w:rsidR="00CB5658" w:rsidRPr="00A9395B">
        <w:t xml:space="preserve">ould likely </w:t>
      </w:r>
      <w:r w:rsidR="00933104">
        <w:t xml:space="preserve">be </w:t>
      </w:r>
      <w:r w:rsidR="00A9395B">
        <w:t xml:space="preserve">said </w:t>
      </w:r>
      <w:r w:rsidR="00CB5658" w:rsidRPr="00A9395B">
        <w:t xml:space="preserve">for Marshal Stalin.  </w:t>
      </w:r>
      <w:r w:rsidR="00AE6268" w:rsidRPr="00A9395B">
        <w:t xml:space="preserve">In other words, the </w:t>
      </w:r>
      <w:r w:rsidR="00A9395B">
        <w:t xml:space="preserve">immediate </w:t>
      </w:r>
      <w:r w:rsidR="00AE6268" w:rsidRPr="00A9395B">
        <w:t xml:space="preserve">collapse anticipated by </w:t>
      </w:r>
      <w:proofErr w:type="spellStart"/>
      <w:r w:rsidR="00AE6268" w:rsidRPr="00A9395B">
        <w:t>Halder</w:t>
      </w:r>
      <w:proofErr w:type="spellEnd"/>
      <w:r w:rsidR="00AE6268" w:rsidRPr="00A9395B">
        <w:t xml:space="preserve"> and </w:t>
      </w:r>
      <w:r w:rsidR="00A9395B">
        <w:t>his associates</w:t>
      </w:r>
      <w:r w:rsidR="00AE6268" w:rsidRPr="00A9395B">
        <w:t xml:space="preserve"> was entirely without basis.</w:t>
      </w:r>
    </w:p>
    <w:p w:rsidR="00A9395B" w:rsidRPr="00A9395B" w:rsidRDefault="00A9395B" w:rsidP="002172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pPr>
      <w:r w:rsidRPr="00A9395B">
        <w:tab/>
      </w:r>
      <w:r w:rsidR="00AE6268" w:rsidRPr="00A9395B">
        <w:t xml:space="preserve">The Japanese should have been on the lookout for similarly obvious cultural markers.  It is true that </w:t>
      </w:r>
      <w:r w:rsidR="00DA42D9" w:rsidRPr="00A9395B">
        <w:t>the United States</w:t>
      </w:r>
      <w:r>
        <w:t xml:space="preserve"> </w:t>
      </w:r>
      <w:r w:rsidR="00AE6268" w:rsidRPr="00A9395B">
        <w:t xml:space="preserve">holds itself as a ‘city on the hill’, one </w:t>
      </w:r>
      <w:r>
        <w:t>to be</w:t>
      </w:r>
      <w:r w:rsidR="00DA42D9" w:rsidRPr="00A9395B">
        <w:t xml:space="preserve"> </w:t>
      </w:r>
      <w:r w:rsidR="00AE6268" w:rsidRPr="00A9395B">
        <w:t>kept free</w:t>
      </w:r>
      <w:r>
        <w:t>, in</w:t>
      </w:r>
      <w:r w:rsidR="00AE6268" w:rsidRPr="00A9395B">
        <w:t xml:space="preserve"> President Jefferson</w:t>
      </w:r>
      <w:r w:rsidR="00DA42D9" w:rsidRPr="00A9395B">
        <w:t>’s words</w:t>
      </w:r>
      <w:r w:rsidR="00AE6268" w:rsidRPr="00A9395B">
        <w:t xml:space="preserve">, </w:t>
      </w:r>
      <w:r>
        <w:t xml:space="preserve">of </w:t>
      </w:r>
      <w:r w:rsidR="00AE6268" w:rsidRPr="00A9395B">
        <w:t>“entangling alliances.”</w:t>
      </w:r>
      <w:r w:rsidR="00AE6268" w:rsidRPr="00A9395B">
        <w:rPr>
          <w:rStyle w:val="FootnoteReference"/>
        </w:rPr>
        <w:footnoteReference w:id="37"/>
      </w:r>
      <w:r w:rsidR="00DA42D9" w:rsidRPr="00A9395B">
        <w:t xml:space="preserve">  Yet careful study of American culture makes it apparent that it is not</w:t>
      </w:r>
      <w:r>
        <w:t xml:space="preserve"> a country that is prone to half </w:t>
      </w:r>
      <w:r w:rsidR="00DA42D9" w:rsidRPr="00A9395B">
        <w:t xml:space="preserve">measures.  When confronted by matters of dignity and </w:t>
      </w:r>
      <w:proofErr w:type="spellStart"/>
      <w:r w:rsidR="00DA42D9" w:rsidRPr="00A9395B">
        <w:t>honour</w:t>
      </w:r>
      <w:proofErr w:type="spellEnd"/>
      <w:r w:rsidR="00DA42D9" w:rsidRPr="00A9395B">
        <w:t>—let alone national survival—the American response has traditional</w:t>
      </w:r>
      <w:r w:rsidRPr="00A9395B">
        <w:t xml:space="preserve">ly been </w:t>
      </w:r>
      <w:r w:rsidR="00DA42D9" w:rsidRPr="00A9395B">
        <w:t xml:space="preserve">mobilization and </w:t>
      </w:r>
      <w:r w:rsidRPr="00A9395B">
        <w:t>commitment on an unsurpassed scale.  The US Civil War provides a case in point.  From the very beginning of the struggle to the end, the contending sides staked out positions that brooked no compromise.  The consequence was five long years of brutal, unceasing combat.  For example, on the first day of Gettysburg (1863) the 1</w:t>
      </w:r>
      <w:r w:rsidRPr="00A9395B">
        <w:rPr>
          <w:vertAlign w:val="superscript"/>
        </w:rPr>
        <w:t>st</w:t>
      </w:r>
      <w:r w:rsidRPr="00A9395B">
        <w:t xml:space="preserve"> Minnesota regiment sustained over 80% casualties.  </w:t>
      </w:r>
      <w:r>
        <w:t xml:space="preserve">Despite these incredibly losses, the unit’s </w:t>
      </w:r>
      <w:r w:rsidRPr="00A9395B">
        <w:t>few survivors were back in the line</w:t>
      </w:r>
      <w:r w:rsidR="00217204">
        <w:t xml:space="preserve"> to receive Pickett’s charge </w:t>
      </w:r>
      <w:r w:rsidRPr="00A9395B">
        <w:t>the next afternoon.</w:t>
      </w:r>
      <w:r w:rsidRPr="00A9395B">
        <w:rPr>
          <w:rStyle w:val="FootnoteReference"/>
        </w:rPr>
        <w:footnoteReference w:id="38"/>
      </w:r>
      <w:r w:rsidRPr="00A9395B">
        <w:t xml:space="preserve">  </w:t>
      </w:r>
      <w:r>
        <w:t xml:space="preserve">Similarly illustrative is </w:t>
      </w:r>
      <w:r w:rsidR="00217204">
        <w:t>how the</w:t>
      </w:r>
      <w:r>
        <w:t xml:space="preserve"> North’s</w:t>
      </w:r>
      <w:r w:rsidRPr="00A9395B">
        <w:t xml:space="preserve"> </w:t>
      </w:r>
      <w:r>
        <w:t xml:space="preserve">superior resources </w:t>
      </w:r>
      <w:r w:rsidRPr="00A9395B">
        <w:t>were used</w:t>
      </w:r>
      <w:r w:rsidR="00217204">
        <w:t xml:space="preserve"> to bring the war to a close by</w:t>
      </w:r>
      <w:r w:rsidRPr="00A9395B">
        <w:t xml:space="preserve"> burn</w:t>
      </w:r>
      <w:r w:rsidR="00217204">
        <w:t>ing</w:t>
      </w:r>
      <w:r w:rsidRPr="00A9395B">
        <w:t xml:space="preserve"> wide swa</w:t>
      </w:r>
      <w:r>
        <w:t xml:space="preserve">ths of the South to the ground.  </w:t>
      </w:r>
      <w:r w:rsidRPr="00A9395B">
        <w:t xml:space="preserve">Grant’s instructions </w:t>
      </w:r>
      <w:r>
        <w:t xml:space="preserve">for </w:t>
      </w:r>
      <w:r w:rsidR="00E4775D">
        <w:t xml:space="preserve">the </w:t>
      </w:r>
      <w:r w:rsidRPr="00A9395B">
        <w:t xml:space="preserve">Shenandoah Valley </w:t>
      </w:r>
      <w:r>
        <w:t xml:space="preserve">campaign </w:t>
      </w:r>
      <w:r w:rsidR="00CA54EB">
        <w:t>the intention</w:t>
      </w:r>
      <w:r>
        <w:t xml:space="preserve"> clear.  </w:t>
      </w:r>
      <w:r w:rsidR="00E4775D">
        <w:t xml:space="preserve">This part of </w:t>
      </w:r>
      <w:r>
        <w:t>Virginia was to be turned into</w:t>
      </w:r>
      <w:r w:rsidRPr="00A9395B">
        <w:t xml:space="preserve"> “a barren waste…so that crows flying over it for the balance of this season will have to carry their provender with them.”</w:t>
      </w:r>
      <w:r>
        <w:rPr>
          <w:rStyle w:val="FootnoteReference"/>
        </w:rPr>
        <w:footnoteReference w:id="39"/>
      </w:r>
      <w:r w:rsidR="00217204">
        <w:t xml:space="preserve">  </w:t>
      </w:r>
      <w:r>
        <w:t>Sheridan</w:t>
      </w:r>
      <w:r w:rsidR="00217204">
        <w:t>, t</w:t>
      </w:r>
      <w:r w:rsidR="00E4775D">
        <w:t>he general put in charge of the</w:t>
      </w:r>
      <w:r w:rsidR="00217204">
        <w:t xml:space="preserve"> operation, </w:t>
      </w:r>
      <w:r>
        <w:t xml:space="preserve">enthusiastically carried out </w:t>
      </w:r>
      <w:r w:rsidR="00217204">
        <w:t>these orders</w:t>
      </w:r>
      <w:r>
        <w:t xml:space="preserve"> against h</w:t>
      </w:r>
      <w:r w:rsidR="009A44D5">
        <w:t xml:space="preserve">is erstwhile fellow citizens.  </w:t>
      </w:r>
      <w:r w:rsidRPr="00A9395B">
        <w:t xml:space="preserve">“The people </w:t>
      </w:r>
      <w:r>
        <w:t>[of the South</w:t>
      </w:r>
      <w:r w:rsidR="00217204">
        <w:t>]</w:t>
      </w:r>
      <w:r>
        <w:t>,” he concluded, “</w:t>
      </w:r>
      <w:r w:rsidRPr="00A9395B">
        <w:t>should be left nothing but their eyes to weep with over the war!”</w:t>
      </w:r>
      <w:r>
        <w:rPr>
          <w:rStyle w:val="FootnoteReference"/>
        </w:rPr>
        <w:footnoteReference w:id="40"/>
      </w:r>
      <w:r w:rsidR="00217204">
        <w:t xml:space="preserve">  Japan’s failure to recognize this preference for victory over all other considerations would prove to be its great undoing.</w:t>
      </w:r>
      <w:r w:rsidR="00217204">
        <w:rPr>
          <w:rStyle w:val="FootnoteReference"/>
        </w:rPr>
        <w:footnoteReference w:id="41"/>
      </w:r>
    </w:p>
    <w:p w:rsidR="003F37E7" w:rsidRPr="00B9526E" w:rsidRDefault="00217204" w:rsidP="002172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pPr>
      <w:r>
        <w:tab/>
      </w:r>
      <w:r w:rsidR="00E4775D">
        <w:t>We can see, then, that a</w:t>
      </w:r>
      <w:r w:rsidR="003F37E7">
        <w:t xml:space="preserve"> better appreciation of cultural circumstances would have</w:t>
      </w:r>
      <w:r w:rsidR="009D2FC4">
        <w:t>, at the very least,</w:t>
      </w:r>
      <w:r w:rsidR="003F37E7">
        <w:t xml:space="preserve"> </w:t>
      </w:r>
      <w:r w:rsidR="009D2FC4">
        <w:t>given the Germans and Japanese a better sense of just how difficult these wars—which they both assumed would be limited in nature—were going to be</w:t>
      </w:r>
      <w:r w:rsidR="003F37E7">
        <w:t>.</w:t>
      </w:r>
      <w:r w:rsidR="009D2FC4">
        <w:t xml:space="preserve">  They need only have looked.</w:t>
      </w:r>
    </w:p>
    <w:p w:rsidR="00FE7388" w:rsidRPr="00B9526E" w:rsidRDefault="00FE7388"/>
    <w:p w:rsidR="003F37E7" w:rsidRDefault="003F37E7">
      <w:r>
        <w:rPr>
          <w:i/>
        </w:rPr>
        <w:t>The Case for Cultural Immersion</w:t>
      </w:r>
    </w:p>
    <w:p w:rsidR="00BD4585" w:rsidRDefault="003F37E7" w:rsidP="003F37E7">
      <w:pPr>
        <w:ind w:firstLine="720"/>
        <w:rPr>
          <w:rFonts w:cs="Helvetica"/>
        </w:rPr>
      </w:pPr>
      <w:r>
        <w:rPr>
          <w:rFonts w:cs="Helvetica"/>
        </w:rPr>
        <w:t>A deep understanding of a potential adversary's values and social preferences is crucial, given that t</w:t>
      </w:r>
      <w:r w:rsidRPr="00C65EF4">
        <w:rPr>
          <w:rFonts w:cs="Helvetica"/>
        </w:rPr>
        <w:t>actics and strategy derive from cultural circumstance.</w:t>
      </w:r>
      <w:r>
        <w:rPr>
          <w:rFonts w:cs="Helvetica"/>
        </w:rPr>
        <w:t xml:space="preserve">  Of course geopolitical conditions, such as the relative amount</w:t>
      </w:r>
      <w:r w:rsidRPr="00C65EF4">
        <w:rPr>
          <w:rFonts w:cs="Helvetica"/>
        </w:rPr>
        <w:t xml:space="preserve"> of resources</w:t>
      </w:r>
      <w:r>
        <w:rPr>
          <w:rFonts w:cs="Helvetica"/>
        </w:rPr>
        <w:t xml:space="preserve"> at one’s disposal, matter a great deal.  But so too does the </w:t>
      </w:r>
      <w:r w:rsidRPr="00C65EF4">
        <w:rPr>
          <w:rFonts w:cs="Helvetica"/>
        </w:rPr>
        <w:t xml:space="preserve">cultural conditioning of what </w:t>
      </w:r>
      <w:r>
        <w:rPr>
          <w:rFonts w:cs="Helvetica"/>
        </w:rPr>
        <w:t xml:space="preserve">military practices are acceptable and which are not.  In World War II, Allied armies and publics felt little compunction towards firebombing entire Axis cities.  So too did they remain relatively inured to the incredible </w:t>
      </w:r>
      <w:r w:rsidR="00CA54EB">
        <w:rPr>
          <w:rFonts w:cs="Helvetica"/>
        </w:rPr>
        <w:t xml:space="preserve">aircrew </w:t>
      </w:r>
      <w:r>
        <w:rPr>
          <w:rFonts w:cs="Helvetica"/>
        </w:rPr>
        <w:t>los</w:t>
      </w:r>
      <w:r w:rsidR="00CA54EB">
        <w:rPr>
          <w:rFonts w:cs="Helvetica"/>
        </w:rPr>
        <w:t>s</w:t>
      </w:r>
      <w:r>
        <w:rPr>
          <w:rFonts w:cs="Helvetica"/>
        </w:rPr>
        <w:t>es these bombing raids incurred.</w:t>
      </w:r>
      <w:r>
        <w:rPr>
          <w:rStyle w:val="FootnoteReference"/>
          <w:rFonts w:cs="Helvetica"/>
        </w:rPr>
        <w:footnoteReference w:id="42"/>
      </w:r>
      <w:r>
        <w:rPr>
          <w:rFonts w:cs="Helvetica"/>
        </w:rPr>
        <w:t xml:space="preserve">  Yet both screamed in moral outrage when</w:t>
      </w:r>
      <w:r w:rsidR="00CA54EB">
        <w:rPr>
          <w:rFonts w:cs="Helvetica"/>
        </w:rPr>
        <w:t>, in the relatively rare circumstances,</w:t>
      </w:r>
      <w:r>
        <w:rPr>
          <w:rFonts w:cs="Helvetica"/>
        </w:rPr>
        <w:t xml:space="preserve"> downed pilots were summarily executed upon capture by enemy forces.  </w:t>
      </w:r>
      <w:proofErr w:type="gramStart"/>
      <w:r>
        <w:rPr>
          <w:rFonts w:cs="Helvetica"/>
        </w:rPr>
        <w:t>This disconnect</w:t>
      </w:r>
      <w:proofErr w:type="gramEnd"/>
      <w:r>
        <w:rPr>
          <w:rFonts w:cs="Helvetica"/>
        </w:rPr>
        <w:t xml:space="preserve">—again, </w:t>
      </w:r>
      <w:r w:rsidR="00E4775D">
        <w:rPr>
          <w:rFonts w:cs="Helvetica"/>
        </w:rPr>
        <w:t xml:space="preserve">something </w:t>
      </w:r>
      <w:r>
        <w:rPr>
          <w:rFonts w:cs="Helvetica"/>
        </w:rPr>
        <w:t>predicated on cultural grounds—between what is militarily acceptable to some and not to others has never been more acute than in today’s age of international terrorism.</w:t>
      </w:r>
    </w:p>
    <w:p w:rsidR="00390E6E" w:rsidRDefault="008F4ABC" w:rsidP="00390E6E">
      <w:pPr>
        <w:ind w:firstLine="720"/>
      </w:pPr>
      <w:r>
        <w:rPr>
          <w:color w:val="000000"/>
        </w:rPr>
        <w:t xml:space="preserve">The lesson of this paper must </w:t>
      </w:r>
      <w:r w:rsidR="00E4775D">
        <w:rPr>
          <w:color w:val="000000"/>
        </w:rPr>
        <w:t xml:space="preserve">therefore </w:t>
      </w:r>
      <w:r>
        <w:rPr>
          <w:color w:val="000000"/>
        </w:rPr>
        <w:t>not be lost on those tasked with a ‘red team’ or ‘opposing force’ (OPFOR) role.</w:t>
      </w:r>
      <w:r>
        <w:t xml:space="preserve">  After all, red teaming is </w:t>
      </w:r>
      <w:r w:rsidR="003F37E7" w:rsidRPr="00B9526E">
        <w:t>about predicting the most likely path a prospective opponent will pursue.  If culture informs the preferences of those paths,</w:t>
      </w:r>
      <w:r w:rsidR="00390E6E">
        <w:t xml:space="preserve"> it is absolutely crucial that red teamers are in a position to be able to </w:t>
      </w:r>
      <w:r w:rsidR="00084131">
        <w:t>imitate</w:t>
      </w:r>
      <w:r w:rsidR="00CA54EB">
        <w:t xml:space="preserve"> </w:t>
      </w:r>
      <w:r w:rsidR="00390E6E">
        <w:t>this</w:t>
      </w:r>
      <w:r w:rsidR="003F37E7" w:rsidRPr="00B9526E">
        <w:t xml:space="preserve"> hierarchy.</w:t>
      </w:r>
      <w:r w:rsidR="00E4775D">
        <w:t xml:space="preserve">  More to the point, </w:t>
      </w:r>
      <w:r w:rsidR="00084131">
        <w:t xml:space="preserve">being able to </w:t>
      </w:r>
      <w:r w:rsidR="00E4775D">
        <w:t>d</w:t>
      </w:r>
      <w:r w:rsidR="00084131">
        <w:t>o</w:t>
      </w:r>
      <w:r w:rsidR="00390E6E">
        <w:t xml:space="preserve"> so will require an emphasis on cultural immersion.  Again, the simple rational actor approach so often adopted in security studies is insufficient.  It i</w:t>
      </w:r>
      <w:r w:rsidR="00BB086D">
        <w:t xml:space="preserve">s </w:t>
      </w:r>
      <w:r w:rsidR="00390E6E">
        <w:t xml:space="preserve">not enough to assume all belligerents will behave according to a like-minded hierarchy of values.  For red teamers to do their jobs properly, they must be </w:t>
      </w:r>
      <w:r w:rsidR="00BB3A6F">
        <w:t>able to act in an accurate reflection of the preferences held by the potential adversaries t</w:t>
      </w:r>
      <w:r w:rsidR="00BB086D">
        <w:t>hey are mimicking.  This, i</w:t>
      </w:r>
      <w:r w:rsidR="00BB3A6F">
        <w:t>n turn, requires a red teamer to:</w:t>
      </w:r>
    </w:p>
    <w:p w:rsidR="00DB4C55" w:rsidRPr="00B9526E" w:rsidRDefault="00DB4C55" w:rsidP="00390E6E">
      <w:pPr>
        <w:ind w:left="720"/>
        <w:rPr>
          <w:color w:val="000000"/>
        </w:rPr>
      </w:pPr>
      <w:r w:rsidRPr="00B9526E">
        <w:rPr>
          <w:color w:val="000000"/>
        </w:rPr>
        <w:t>"</w:t>
      </w:r>
      <w:proofErr w:type="gramStart"/>
      <w:r w:rsidRPr="00B9526E">
        <w:rPr>
          <w:color w:val="000000"/>
        </w:rPr>
        <w:t>marinate</w:t>
      </w:r>
      <w:proofErr w:type="gramEnd"/>
      <w:r w:rsidRPr="00B9526E">
        <w:rPr>
          <w:color w:val="000000"/>
        </w:rPr>
        <w:t xml:space="preserve"> herself in the minutiae of that institution</w:t>
      </w:r>
      <w:r w:rsidR="00390E6E">
        <w:rPr>
          <w:color w:val="000000"/>
        </w:rPr>
        <w:t>—</w:t>
      </w:r>
      <w:r w:rsidRPr="00B9526E">
        <w:rPr>
          <w:color w:val="000000"/>
        </w:rPr>
        <w:t xml:space="preserve">to experience its customs and practices, its successes and its failings, as those who live it every day do.  This immersion sharpens our intuitions and </w:t>
      </w:r>
      <w:r w:rsidR="00390E6E">
        <w:rPr>
          <w:color w:val="000000"/>
        </w:rPr>
        <w:t>provides</w:t>
      </w:r>
      <w:r w:rsidRPr="00B9526E">
        <w:rPr>
          <w:color w:val="000000"/>
        </w:rPr>
        <w:t xml:space="preserve"> innumerable clues about how the institution fits together and how it adapts to its environment.</w:t>
      </w:r>
      <w:r w:rsidR="00390E6E">
        <w:rPr>
          <w:color w:val="000000"/>
        </w:rPr>
        <w:t>”</w:t>
      </w:r>
      <w:r w:rsidR="00390E6E">
        <w:rPr>
          <w:rStyle w:val="FootnoteReference"/>
          <w:color w:val="000000"/>
        </w:rPr>
        <w:footnoteReference w:id="43"/>
      </w:r>
    </w:p>
    <w:p w:rsidR="00BB3A6F" w:rsidRDefault="00BB3A6F" w:rsidP="00BB086D">
      <w:r>
        <w:t>As such, while this paper has emphasized the historical dimension of cultural awareness, for OPFOR role players to acquire an even broader</w:t>
      </w:r>
      <w:r w:rsidR="00BB086D">
        <w:t xml:space="preserve"> cultural understanding </w:t>
      </w:r>
      <w:r>
        <w:t xml:space="preserve">would be better still.  Mores and values are not always easily communicated in books.  </w:t>
      </w:r>
      <w:r w:rsidR="00BB086D">
        <w:t xml:space="preserve">Indeed, preferences can sometimes be hard to order without direct observation.  </w:t>
      </w:r>
      <w:r>
        <w:t>It is therefore best</w:t>
      </w:r>
      <w:r w:rsidR="00BB086D">
        <w:t>, whenever possible,</w:t>
      </w:r>
      <w:r>
        <w:t xml:space="preserve"> to</w:t>
      </w:r>
      <w:r w:rsidR="00BB086D">
        <w:t xml:space="preserve"> encourage red teamers to travel abroad, enabling them to witness such practices first hand.  Doing so, however, requires proper </w:t>
      </w:r>
      <w:r>
        <w:t>language training</w:t>
      </w:r>
      <w:r w:rsidR="00BB086D">
        <w:t xml:space="preserve"> to be fully effective, raising the degree of cultural immersion further still.</w:t>
      </w:r>
      <w:r w:rsidR="007E0810">
        <w:t xml:space="preserve">  </w:t>
      </w:r>
      <w:r w:rsidR="00084131">
        <w:t>More to the point, e</w:t>
      </w:r>
      <w:r w:rsidR="007E0810">
        <w:t xml:space="preserve">xtensive cultural participation is not possible when thwarted by an unassailable language divide.  </w:t>
      </w:r>
      <w:r w:rsidR="00084131">
        <w:t xml:space="preserve">Red teamers therefore require the training and resources necessary to overcome these obstacles.  </w:t>
      </w:r>
    </w:p>
    <w:p w:rsidR="00B136F6" w:rsidRPr="00B9526E" w:rsidRDefault="00BB086D">
      <w:pPr>
        <w:rPr>
          <w:color w:val="000000"/>
        </w:rPr>
      </w:pPr>
      <w:r>
        <w:tab/>
        <w:t>We can</w:t>
      </w:r>
      <w:r w:rsidR="00084131">
        <w:t xml:space="preserve"> </w:t>
      </w:r>
      <w:r>
        <w:t xml:space="preserve">make this task slightly easier by </w:t>
      </w:r>
      <w:r w:rsidR="007E0810">
        <w:t>outlining the</w:t>
      </w:r>
      <w:r>
        <w:t xml:space="preserve"> key questions such cultural immersion needs to </w:t>
      </w:r>
      <w:r w:rsidR="007E0810">
        <w:t xml:space="preserve">answer.  The first and most obvious deals with </w:t>
      </w:r>
      <w:r w:rsidR="00E4775D">
        <w:t>how high</w:t>
      </w:r>
      <w:r w:rsidR="007E0810">
        <w:t xml:space="preserve"> preferences regarding the willingness to fight rank.  History demonstrates a r</w:t>
      </w:r>
      <w:r w:rsidR="003F37E7">
        <w:t>emarkable consistency</w:t>
      </w:r>
      <w:r w:rsidR="007E0810">
        <w:t xml:space="preserve"> in the inclination to defend one’s homeland, even as </w:t>
      </w:r>
      <w:r w:rsidR="00E4775D">
        <w:t>political systems pas</w:t>
      </w:r>
      <w:r w:rsidR="007E0810">
        <w:t>s from one</w:t>
      </w:r>
      <w:r w:rsidR="00E4775D">
        <w:t xml:space="preserve"> regime</w:t>
      </w:r>
      <w:r w:rsidR="007E0810">
        <w:t xml:space="preserve"> to the next.  The Russian soldier, </w:t>
      </w:r>
      <w:r w:rsidR="00E4775D">
        <w:t>for example</w:t>
      </w:r>
      <w:r w:rsidR="007E0810">
        <w:t>, was not without complaint of both Tsar Nicholas and Stalin, b</w:t>
      </w:r>
      <w:r w:rsidR="0085317C">
        <w:t>ut fight hard for them both he did</w:t>
      </w:r>
      <w:r w:rsidR="007E0810">
        <w:t xml:space="preserve">.  This indicates that </w:t>
      </w:r>
      <w:r w:rsidR="00E4775D">
        <w:t>the cultural bonds of community exist</w:t>
      </w:r>
      <w:r w:rsidR="007E0810">
        <w:t xml:space="preserve"> as a powerful variable, one that must be uncovered if a potential </w:t>
      </w:r>
      <w:r w:rsidR="0085317C">
        <w:t>opponent's</w:t>
      </w:r>
      <w:r w:rsidR="007E0810">
        <w:t xml:space="preserve"> moves are to be correctly anticipated.  Second is the </w:t>
      </w:r>
      <w:r w:rsidR="00B136F6" w:rsidRPr="00B9526E">
        <w:t>need to unco</w:t>
      </w:r>
      <w:r w:rsidR="0085317C">
        <w:t>ver the extent of loss aversion</w:t>
      </w:r>
      <w:r w:rsidR="00E4775D">
        <w:t xml:space="preserve"> a society faces</w:t>
      </w:r>
      <w:r w:rsidR="0085317C">
        <w:t>.</w:t>
      </w:r>
      <w:r w:rsidR="0085317C">
        <w:rPr>
          <w:rStyle w:val="FootnoteReference"/>
        </w:rPr>
        <w:footnoteReference w:id="44"/>
      </w:r>
      <w:r w:rsidR="0016391A">
        <w:t xml:space="preserve">  </w:t>
      </w:r>
      <w:r w:rsidR="00E4775D">
        <w:t>In other words, t</w:t>
      </w:r>
      <w:r w:rsidR="0016391A">
        <w:t xml:space="preserve">o what degree does a </w:t>
      </w:r>
      <w:r w:rsidR="00E4775D">
        <w:t>particular social context</w:t>
      </w:r>
      <w:r w:rsidR="0016391A">
        <w:t xml:space="preserve"> find losses more painful than gains </w:t>
      </w:r>
      <w:r w:rsidR="00B136F6" w:rsidRPr="00B9526E">
        <w:rPr>
          <w:color w:val="000000"/>
        </w:rPr>
        <w:t>pleasurable.</w:t>
      </w:r>
      <w:r w:rsidR="0016391A">
        <w:rPr>
          <w:color w:val="000000"/>
        </w:rPr>
        <w:t xml:space="preserve">  The reason here is that the greater the abhorrence of loss and humiliation, the greater the willingness to take risks.  As was witnessed throughout the long, bloody 20</w:t>
      </w:r>
      <w:r w:rsidR="0016391A" w:rsidRPr="0016391A">
        <w:rPr>
          <w:color w:val="000000"/>
          <w:vertAlign w:val="superscript"/>
        </w:rPr>
        <w:t>th</w:t>
      </w:r>
      <w:r w:rsidR="0016391A">
        <w:rPr>
          <w:color w:val="000000"/>
        </w:rPr>
        <w:t xml:space="preserve">C, when leaders </w:t>
      </w:r>
      <w:r w:rsidR="00EC00F7">
        <w:rPr>
          <w:color w:val="000000"/>
        </w:rPr>
        <w:t>undertake perilous gambles in the name of security</w:t>
      </w:r>
      <w:r w:rsidR="0016391A">
        <w:rPr>
          <w:color w:val="000000"/>
        </w:rPr>
        <w:t>, unmitigated tragedy is the all too frequent result.</w:t>
      </w:r>
    </w:p>
    <w:p w:rsidR="003F37E7" w:rsidRDefault="003F37E7">
      <w:pPr>
        <w:rPr>
          <w:color w:val="000000"/>
        </w:rPr>
      </w:pPr>
    </w:p>
    <w:p w:rsidR="00610912" w:rsidRDefault="00610912">
      <w:pPr>
        <w:rPr>
          <w:color w:val="000000"/>
        </w:rPr>
      </w:pPr>
    </w:p>
    <w:p w:rsidR="00610912" w:rsidRDefault="00610912">
      <w:pPr>
        <w:rPr>
          <w:color w:val="000000"/>
        </w:rPr>
      </w:pPr>
    </w:p>
    <w:p w:rsidR="00181064" w:rsidRPr="00B136F6" w:rsidRDefault="00B96597">
      <w:pPr>
        <w:rPr>
          <w:rFonts w:eastAsiaTheme="minorHAnsi" w:cstheme="minorBidi"/>
          <w:sz w:val="20"/>
          <w:szCs w:val="20"/>
        </w:rPr>
      </w:pPr>
      <w:r w:rsidRPr="00B136F6">
        <w:rPr>
          <w:rFonts w:eastAsiaTheme="minorHAnsi" w:cstheme="minorBidi"/>
          <w:sz w:val="20"/>
          <w:szCs w:val="20"/>
        </w:rPr>
        <w:t xml:space="preserve"> </w:t>
      </w:r>
    </w:p>
    <w:sectPr w:rsidR="00181064" w:rsidRPr="00B136F6" w:rsidSect="00181064">
      <w:footerReference w:type="default" r:id="rId6"/>
      <w:pgSz w:w="12240" w:h="15840"/>
      <w:pgMar w:top="1440" w:right="1440" w:bottom="1440" w:left="1440" w:header="706" w:footer="706"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131" w:rsidRPr="00B945B5" w:rsidRDefault="00084131" w:rsidP="00CD7912">
    <w:pPr>
      <w:jc w:val="center"/>
      <w:rPr>
        <w:color w:val="000000"/>
        <w:sz w:val="20"/>
      </w:rPr>
    </w:pPr>
    <w:r w:rsidRPr="00B945B5">
      <w:rPr>
        <w:color w:val="000000"/>
        <w:sz w:val="20"/>
      </w:rPr>
      <w:t>Sean Clark – Dalhousie University</w:t>
    </w:r>
  </w:p>
  <w:p w:rsidR="00084131" w:rsidRDefault="00084131" w:rsidP="00CD7912">
    <w:pPr>
      <w:jc w:val="center"/>
      <w:rPr>
        <w:sz w:val="20"/>
      </w:rPr>
    </w:pPr>
    <w:r w:rsidRPr="008F4ABC">
      <w:rPr>
        <w:i/>
        <w:sz w:val="20"/>
      </w:rPr>
      <w:t>A Matter of Preference</w:t>
    </w:r>
  </w:p>
  <w:p w:rsidR="00084131" w:rsidRPr="008F4ABC" w:rsidRDefault="00084131" w:rsidP="00CD7912">
    <w:pPr>
      <w:jc w:val="center"/>
      <w:rPr>
        <w:sz w:val="20"/>
      </w:rPr>
    </w:pPr>
    <w:r>
      <w:rPr>
        <w:sz w:val="20"/>
      </w:rPr>
      <w:t>Commissioned</w:t>
    </w:r>
    <w:r w:rsidRPr="008F4ABC">
      <w:rPr>
        <w:sz w:val="20"/>
      </w:rPr>
      <w:t xml:space="preserve"> by</w:t>
    </w:r>
    <w:r>
      <w:rPr>
        <w:sz w:val="20"/>
      </w:rPr>
      <w:t xml:space="preserve"> the p</w:t>
    </w:r>
    <w:r w:rsidRPr="008F4ABC">
      <w:rPr>
        <w:rFonts w:eastAsiaTheme="minorHAnsi" w:cs="Verdana"/>
        <w:color w:val="262626"/>
        <w:sz w:val="20"/>
      </w:rPr>
      <w:t>roject on Red Teaming, Red Cells and Analytical Decision Support,</w:t>
    </w:r>
    <w:r>
      <w:rPr>
        <w:rFonts w:eastAsiaTheme="minorHAnsi" w:cs="Verdana"/>
        <w:color w:val="262626"/>
        <w:sz w:val="20"/>
      </w:rPr>
      <w:t xml:space="preserve"> part of</w:t>
    </w:r>
    <w:r w:rsidRPr="008F4ABC">
      <w:rPr>
        <w:rFonts w:eastAsiaTheme="minorHAnsi" w:cs="Verdana"/>
        <w:color w:val="262626"/>
        <w:sz w:val="20"/>
      </w:rPr>
      <w:t xml:space="preserve"> the Centre for Security, Armed Forces and Society (CSAS) of the Royal Military College of Canada (RMC)</w:t>
    </w:r>
  </w:p>
  <w:p w:rsidR="00084131" w:rsidRDefault="00084131" w:rsidP="00CD7912">
    <w:pPr>
      <w:pStyle w:val="Footer"/>
      <w:jc w:val="center"/>
    </w:pPr>
    <w:r w:rsidRPr="008F4ABC">
      <w:rPr>
        <w:rStyle w:val="PageNumber"/>
        <w:sz w:val="20"/>
      </w:rPr>
      <w:t>-</w:t>
    </w:r>
    <w:r w:rsidR="006A3914" w:rsidRPr="008F4ABC">
      <w:rPr>
        <w:rStyle w:val="PageNumber"/>
        <w:sz w:val="20"/>
      </w:rPr>
      <w:fldChar w:fldCharType="begin"/>
    </w:r>
    <w:r w:rsidRPr="008F4ABC">
      <w:rPr>
        <w:rStyle w:val="PageNumber"/>
        <w:sz w:val="20"/>
      </w:rPr>
      <w:instrText xml:space="preserve"> PAGE </w:instrText>
    </w:r>
    <w:r w:rsidR="006A3914" w:rsidRPr="008F4ABC">
      <w:rPr>
        <w:rStyle w:val="PageNumber"/>
        <w:sz w:val="20"/>
      </w:rPr>
      <w:fldChar w:fldCharType="separate"/>
    </w:r>
    <w:r w:rsidR="00A535B3">
      <w:rPr>
        <w:rStyle w:val="PageNumber"/>
        <w:noProof/>
        <w:sz w:val="20"/>
      </w:rPr>
      <w:t>1</w:t>
    </w:r>
    <w:r w:rsidR="006A3914" w:rsidRPr="008F4ABC">
      <w:rPr>
        <w:rStyle w:val="PageNumber"/>
        <w:sz w:val="20"/>
      </w:rPr>
      <w:fldChar w:fldCharType="end"/>
    </w:r>
    <w:r w:rsidRPr="00B945B5">
      <w:rPr>
        <w:rStyle w:val="PageNumber"/>
        <w:sz w:val="20"/>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084131" w:rsidRPr="00730923" w:rsidRDefault="00084131" w:rsidP="00CD7912">
      <w:pPr>
        <w:pStyle w:val="FootnoteText"/>
        <w:rPr>
          <w:color w:val="000000"/>
          <w:sz w:val="20"/>
        </w:rPr>
      </w:pPr>
      <w:r w:rsidRPr="00730923">
        <w:rPr>
          <w:rStyle w:val="FootnoteReference"/>
          <w:sz w:val="20"/>
        </w:rPr>
        <w:footnoteRef/>
      </w:r>
      <w:r w:rsidRPr="00730923">
        <w:rPr>
          <w:sz w:val="20"/>
        </w:rPr>
        <w:t xml:space="preserve"> </w:t>
      </w:r>
      <w:r w:rsidRPr="00730923">
        <w:rPr>
          <w:color w:val="000000"/>
          <w:sz w:val="20"/>
        </w:rPr>
        <w:t xml:space="preserve">Sun Tzu, </w:t>
      </w:r>
      <w:r w:rsidRPr="00730923">
        <w:rPr>
          <w:i/>
          <w:color w:val="000000"/>
          <w:sz w:val="20"/>
        </w:rPr>
        <w:t>The Art of War</w:t>
      </w:r>
      <w:r w:rsidRPr="00730923">
        <w:rPr>
          <w:color w:val="000000"/>
          <w:sz w:val="20"/>
        </w:rPr>
        <w:t xml:space="preserve">, Samuel B. Griffith (trans), (Oxford: Oxford University Press, 1971), </w:t>
      </w:r>
      <w:proofErr w:type="spellStart"/>
      <w:proofErr w:type="gramStart"/>
      <w:r w:rsidRPr="00730923">
        <w:rPr>
          <w:color w:val="000000"/>
          <w:sz w:val="20"/>
        </w:rPr>
        <w:t>chpt</w:t>
      </w:r>
      <w:proofErr w:type="spellEnd"/>
      <w:proofErr w:type="gramEnd"/>
      <w:r w:rsidRPr="00730923">
        <w:rPr>
          <w:color w:val="000000"/>
          <w:sz w:val="20"/>
        </w:rPr>
        <w:t xml:space="preserve"> 3.</w:t>
      </w:r>
    </w:p>
  </w:footnote>
  <w:footnote w:id="0">
    <w:p w:rsidR="00084131" w:rsidRPr="00730923" w:rsidRDefault="00084131" w:rsidP="0007574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0"/>
        </w:rPr>
      </w:pPr>
      <w:r w:rsidRPr="00730923">
        <w:rPr>
          <w:rStyle w:val="FootnoteReference"/>
          <w:sz w:val="20"/>
        </w:rPr>
        <w:footnoteRef/>
      </w:r>
      <w:r w:rsidRPr="00730923">
        <w:rPr>
          <w:color w:val="000000"/>
          <w:sz w:val="20"/>
        </w:rPr>
        <w:t xml:space="preserve"> Of course technology long preceded science, since one can develop new and better </w:t>
      </w:r>
      <w:r w:rsidRPr="00730923">
        <w:rPr>
          <w:sz w:val="20"/>
        </w:rPr>
        <w:t xml:space="preserve">machines by trial and error.  But even here, it is not until science was married with technology that the latter’s progress truly </w:t>
      </w:r>
      <w:proofErr w:type="gramStart"/>
      <w:r w:rsidRPr="00730923">
        <w:rPr>
          <w:sz w:val="20"/>
        </w:rPr>
        <w:t>took</w:t>
      </w:r>
      <w:proofErr w:type="gramEnd"/>
      <w:r w:rsidRPr="00730923">
        <w:rPr>
          <w:sz w:val="20"/>
        </w:rPr>
        <w:t xml:space="preserve"> off.  </w:t>
      </w:r>
      <w:proofErr w:type="gramStart"/>
      <w:r w:rsidRPr="00730923">
        <w:rPr>
          <w:sz w:val="20"/>
        </w:rPr>
        <w:t xml:space="preserve">John </w:t>
      </w:r>
      <w:proofErr w:type="spellStart"/>
      <w:r w:rsidRPr="00730923">
        <w:rPr>
          <w:color w:val="000000"/>
          <w:sz w:val="20"/>
        </w:rPr>
        <w:t>Gribbin</w:t>
      </w:r>
      <w:proofErr w:type="spellEnd"/>
      <w:r w:rsidRPr="00730923">
        <w:rPr>
          <w:color w:val="000000"/>
          <w:sz w:val="20"/>
        </w:rPr>
        <w:t xml:space="preserve">, </w:t>
      </w:r>
      <w:r w:rsidRPr="00730923">
        <w:rPr>
          <w:i/>
          <w:color w:val="000000"/>
          <w:sz w:val="20"/>
        </w:rPr>
        <w:t>Science: A History</w:t>
      </w:r>
      <w:r w:rsidRPr="00730923">
        <w:rPr>
          <w:color w:val="000000"/>
          <w:sz w:val="20"/>
        </w:rPr>
        <w:t xml:space="preserve">, (Penguin, 2003), </w:t>
      </w:r>
      <w:proofErr w:type="spellStart"/>
      <w:r w:rsidRPr="00730923">
        <w:rPr>
          <w:sz w:val="20"/>
        </w:rPr>
        <w:t>pxx</w:t>
      </w:r>
      <w:proofErr w:type="spellEnd"/>
      <w:r w:rsidRPr="00730923">
        <w:rPr>
          <w:sz w:val="20"/>
        </w:rPr>
        <w:t>.</w:t>
      </w:r>
      <w:proofErr w:type="gramEnd"/>
      <w:r w:rsidRPr="00730923">
        <w:rPr>
          <w:sz w:val="20"/>
        </w:rPr>
        <w:t xml:space="preserve"> </w:t>
      </w:r>
    </w:p>
  </w:footnote>
  <w:footnote w:id="1">
    <w:p w:rsidR="00084131" w:rsidRPr="00730923" w:rsidRDefault="00084131">
      <w:pPr>
        <w:pStyle w:val="FootnoteText"/>
        <w:rPr>
          <w:sz w:val="20"/>
        </w:rPr>
      </w:pPr>
      <w:r w:rsidRPr="00730923">
        <w:rPr>
          <w:rStyle w:val="FootnoteReference"/>
          <w:sz w:val="20"/>
        </w:rPr>
        <w:footnoteRef/>
      </w:r>
      <w:r w:rsidRPr="00730923">
        <w:rPr>
          <w:sz w:val="20"/>
        </w:rPr>
        <w:t xml:space="preserve"> See, for example, </w:t>
      </w:r>
      <w:r w:rsidRPr="00730923">
        <w:rPr>
          <w:color w:val="000000"/>
          <w:sz w:val="20"/>
        </w:rPr>
        <w:t xml:space="preserve">Kenneth Arrow, </w:t>
      </w:r>
      <w:r w:rsidRPr="00730923">
        <w:rPr>
          <w:i/>
          <w:color w:val="000000"/>
          <w:sz w:val="20"/>
        </w:rPr>
        <w:t>Social Choice and Individual Values</w:t>
      </w:r>
      <w:r w:rsidRPr="00730923">
        <w:rPr>
          <w:color w:val="000000"/>
          <w:sz w:val="20"/>
        </w:rPr>
        <w:t>, (New Haven, CT: Yale University Press, 1951);</w:t>
      </w:r>
      <w:r w:rsidRPr="00730923">
        <w:rPr>
          <w:sz w:val="20"/>
        </w:rPr>
        <w:t xml:space="preserve"> </w:t>
      </w:r>
      <w:r w:rsidRPr="00730923">
        <w:rPr>
          <w:color w:val="000000"/>
          <w:sz w:val="20"/>
        </w:rPr>
        <w:t xml:space="preserve">Anthony Downs, </w:t>
      </w:r>
      <w:r w:rsidRPr="00730923">
        <w:rPr>
          <w:i/>
          <w:color w:val="000000"/>
          <w:sz w:val="20"/>
        </w:rPr>
        <w:t>An Economic Theory of Democracy</w:t>
      </w:r>
      <w:r w:rsidRPr="00730923">
        <w:rPr>
          <w:color w:val="000000"/>
          <w:sz w:val="20"/>
        </w:rPr>
        <w:t xml:space="preserve">, (New York: Harper, 1957); William Riker, </w:t>
      </w:r>
      <w:r w:rsidRPr="00730923">
        <w:rPr>
          <w:i/>
          <w:color w:val="000000"/>
          <w:sz w:val="20"/>
        </w:rPr>
        <w:t>The Theory of Political Coalitions</w:t>
      </w:r>
      <w:r w:rsidRPr="00730923">
        <w:rPr>
          <w:color w:val="000000"/>
          <w:sz w:val="20"/>
        </w:rPr>
        <w:t xml:space="preserve">, (New Haven: Yale University Press, 1962); and Mancur Olson, </w:t>
      </w:r>
      <w:r w:rsidRPr="00730923">
        <w:rPr>
          <w:i/>
          <w:color w:val="000000"/>
          <w:sz w:val="20"/>
        </w:rPr>
        <w:t>The Logic of Collective Action</w:t>
      </w:r>
      <w:r w:rsidRPr="00730923">
        <w:rPr>
          <w:color w:val="000000"/>
          <w:sz w:val="20"/>
        </w:rPr>
        <w:t>, (Cambridge, Mass.: Harvard University Press, 1965).</w:t>
      </w:r>
    </w:p>
  </w:footnote>
  <w:footnote w:id="2">
    <w:p w:rsidR="00084131" w:rsidRPr="00730923" w:rsidRDefault="00084131">
      <w:pPr>
        <w:pStyle w:val="FootnoteText"/>
        <w:rPr>
          <w:sz w:val="20"/>
        </w:rPr>
      </w:pPr>
      <w:r w:rsidRPr="00730923">
        <w:rPr>
          <w:rStyle w:val="FootnoteReference"/>
          <w:sz w:val="20"/>
        </w:rPr>
        <w:footnoteRef/>
      </w:r>
      <w:r w:rsidRPr="00730923">
        <w:rPr>
          <w:sz w:val="20"/>
        </w:rPr>
        <w:t xml:space="preserve"> It is only the difference of absolute and relative gains that divides them, hence the different expectations regarding the possibility for cooperation in the international system.  See </w:t>
      </w:r>
      <w:r w:rsidRPr="00730923">
        <w:rPr>
          <w:color w:val="000000"/>
          <w:sz w:val="20"/>
        </w:rPr>
        <w:t xml:space="preserve">Joseph M. </w:t>
      </w:r>
      <w:proofErr w:type="spellStart"/>
      <w:r w:rsidRPr="00730923">
        <w:rPr>
          <w:color w:val="000000"/>
          <w:sz w:val="20"/>
        </w:rPr>
        <w:t>Greico</w:t>
      </w:r>
      <w:proofErr w:type="spellEnd"/>
      <w:r w:rsidRPr="00730923">
        <w:rPr>
          <w:color w:val="000000"/>
          <w:sz w:val="20"/>
        </w:rPr>
        <w:t xml:space="preserve">, </w:t>
      </w:r>
      <w:r w:rsidRPr="00730923">
        <w:rPr>
          <w:i/>
          <w:color w:val="000000"/>
          <w:sz w:val="20"/>
        </w:rPr>
        <w:t xml:space="preserve">Cooperation Among Nations: Europe, America, and Non-Tariff Barriers to </w:t>
      </w:r>
      <w:proofErr w:type="gramStart"/>
      <w:r w:rsidRPr="00730923">
        <w:rPr>
          <w:i/>
          <w:color w:val="000000"/>
          <w:sz w:val="20"/>
        </w:rPr>
        <w:t>Trade</w:t>
      </w:r>
      <w:r w:rsidRPr="00730923">
        <w:rPr>
          <w:color w:val="000000"/>
          <w:sz w:val="20"/>
        </w:rPr>
        <w:t xml:space="preserve"> ,</w:t>
      </w:r>
      <w:proofErr w:type="gramEnd"/>
      <w:r w:rsidRPr="00730923">
        <w:rPr>
          <w:color w:val="000000"/>
          <w:sz w:val="20"/>
        </w:rPr>
        <w:t xml:space="preserve"> (Ithaca: Cornell University Press, 1990).</w:t>
      </w:r>
    </w:p>
  </w:footnote>
  <w:footnote w:id="3">
    <w:p w:rsidR="00084131" w:rsidRPr="00730923" w:rsidRDefault="00084131">
      <w:pPr>
        <w:pStyle w:val="FootnoteText"/>
        <w:rPr>
          <w:sz w:val="20"/>
        </w:rPr>
      </w:pPr>
      <w:r w:rsidRPr="00730923">
        <w:rPr>
          <w:rStyle w:val="FootnoteReference"/>
          <w:sz w:val="20"/>
        </w:rPr>
        <w:footnoteRef/>
      </w:r>
      <w:r w:rsidRPr="00730923">
        <w:rPr>
          <w:sz w:val="20"/>
        </w:rPr>
        <w:t xml:space="preserve"> Of the relatively scarce literature on this subject, Thomas C. Schelling, </w:t>
      </w:r>
      <w:r w:rsidRPr="00730923">
        <w:rPr>
          <w:i/>
          <w:sz w:val="20"/>
        </w:rPr>
        <w:t>Arms and Influence</w:t>
      </w:r>
      <w:r w:rsidRPr="00730923">
        <w:rPr>
          <w:sz w:val="20"/>
        </w:rPr>
        <w:t xml:space="preserve"> (New Haven: Yale University Press, 1966) and Alexander L. George, D. George, and W.E. Simons, </w:t>
      </w:r>
      <w:r w:rsidRPr="00730923">
        <w:rPr>
          <w:i/>
          <w:sz w:val="20"/>
        </w:rPr>
        <w:t>Limits to Coercive Diplomacy</w:t>
      </w:r>
      <w:r w:rsidRPr="00730923">
        <w:rPr>
          <w:sz w:val="20"/>
        </w:rPr>
        <w:t xml:space="preserve"> (Boston: Little, Brown, 1971) are the most important.  For a more recent treatment, see Lawrence Freedman (</w:t>
      </w:r>
      <w:proofErr w:type="spellStart"/>
      <w:r w:rsidRPr="00730923">
        <w:rPr>
          <w:sz w:val="20"/>
        </w:rPr>
        <w:t>ed</w:t>
      </w:r>
      <w:proofErr w:type="spellEnd"/>
      <w:r w:rsidRPr="00730923">
        <w:rPr>
          <w:sz w:val="20"/>
        </w:rPr>
        <w:t xml:space="preserve">), </w:t>
      </w:r>
      <w:r w:rsidRPr="00730923">
        <w:rPr>
          <w:i/>
          <w:sz w:val="20"/>
        </w:rPr>
        <w:t>Strategic Coercion: Concepts and Cases</w:t>
      </w:r>
      <w:r w:rsidRPr="00730923">
        <w:rPr>
          <w:sz w:val="20"/>
        </w:rPr>
        <w:t>, (Oxford: Oxford University Press, 1998).</w:t>
      </w:r>
    </w:p>
  </w:footnote>
  <w:footnote w:id="4">
    <w:p w:rsidR="00084131" w:rsidRPr="00730923" w:rsidRDefault="00084131">
      <w:pPr>
        <w:pStyle w:val="FootnoteText"/>
        <w:rPr>
          <w:i/>
          <w:sz w:val="20"/>
        </w:rPr>
      </w:pPr>
      <w:r w:rsidRPr="00730923">
        <w:rPr>
          <w:rStyle w:val="FootnoteReference"/>
          <w:sz w:val="20"/>
        </w:rPr>
        <w:footnoteRef/>
      </w:r>
      <w:r w:rsidRPr="00730923">
        <w:rPr>
          <w:sz w:val="20"/>
        </w:rPr>
        <w:t xml:space="preserve"> Peter </w:t>
      </w:r>
      <w:proofErr w:type="spellStart"/>
      <w:r w:rsidRPr="00730923">
        <w:rPr>
          <w:sz w:val="20"/>
        </w:rPr>
        <w:t>Viggo</w:t>
      </w:r>
      <w:proofErr w:type="spellEnd"/>
      <w:r w:rsidRPr="00730923">
        <w:rPr>
          <w:sz w:val="20"/>
        </w:rPr>
        <w:t xml:space="preserve"> </w:t>
      </w:r>
      <w:proofErr w:type="spellStart"/>
      <w:r w:rsidRPr="00730923">
        <w:rPr>
          <w:sz w:val="20"/>
        </w:rPr>
        <w:t>Jakobsen</w:t>
      </w:r>
      <w:proofErr w:type="spellEnd"/>
      <w:r w:rsidRPr="00730923">
        <w:rPr>
          <w:sz w:val="20"/>
        </w:rPr>
        <w:t xml:space="preserve">, “Coercive Diplomacy,” in Alan Collins, </w:t>
      </w:r>
      <w:r w:rsidRPr="00730923">
        <w:rPr>
          <w:i/>
          <w:sz w:val="20"/>
        </w:rPr>
        <w:t>Contemporary Security Studies</w:t>
      </w:r>
      <w:r w:rsidRPr="00730923">
        <w:rPr>
          <w:sz w:val="20"/>
        </w:rPr>
        <w:t>, (Oxford: Oxford University Press, 2010), p 287.</w:t>
      </w:r>
    </w:p>
  </w:footnote>
  <w:footnote w:id="5">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color w:val="000000"/>
          <w:sz w:val="20"/>
        </w:rPr>
        <w:t xml:space="preserve">Robert Jervis, </w:t>
      </w:r>
      <w:r w:rsidRPr="00730923">
        <w:rPr>
          <w:i/>
          <w:color w:val="000000"/>
          <w:sz w:val="20"/>
        </w:rPr>
        <w:t>Perception and Misperception in International Politics</w:t>
      </w:r>
      <w:r w:rsidRPr="00730923">
        <w:rPr>
          <w:color w:val="000000"/>
          <w:sz w:val="20"/>
        </w:rPr>
        <w:t>, (Princeton University Press, 1976)</w:t>
      </w:r>
      <w:r w:rsidRPr="00730923">
        <w:rPr>
          <w:rFonts w:eastAsiaTheme="minorHAnsi" w:cstheme="minorBidi"/>
          <w:sz w:val="20"/>
          <w:szCs w:val="20"/>
        </w:rPr>
        <w:t>.</w:t>
      </w:r>
      <w:proofErr w:type="gramEnd"/>
    </w:p>
  </w:footnote>
  <w:footnote w:id="6">
    <w:p w:rsidR="00084131" w:rsidRPr="00730923" w:rsidRDefault="00084131" w:rsidP="00896A8D">
      <w:pPr>
        <w:pStyle w:val="FootnoteText"/>
        <w:rPr>
          <w:sz w:val="20"/>
        </w:rPr>
      </w:pPr>
      <w:r w:rsidRPr="00730923">
        <w:rPr>
          <w:rStyle w:val="FootnoteReference"/>
          <w:sz w:val="20"/>
        </w:rPr>
        <w:footnoteRef/>
      </w:r>
      <w:r w:rsidRPr="00730923">
        <w:rPr>
          <w:sz w:val="20"/>
        </w:rPr>
        <w:t xml:space="preserve"> </w:t>
      </w:r>
      <w:r w:rsidRPr="00730923">
        <w:rPr>
          <w:color w:val="000000"/>
          <w:sz w:val="20"/>
        </w:rPr>
        <w:t xml:space="preserve">Daniel </w:t>
      </w:r>
      <w:proofErr w:type="spellStart"/>
      <w:r w:rsidRPr="00730923">
        <w:rPr>
          <w:color w:val="000000"/>
          <w:sz w:val="20"/>
        </w:rPr>
        <w:t>Kahneman</w:t>
      </w:r>
      <w:proofErr w:type="spellEnd"/>
      <w:r w:rsidRPr="00730923">
        <w:rPr>
          <w:color w:val="000000"/>
          <w:sz w:val="20"/>
        </w:rPr>
        <w:t xml:space="preserve">, "A perspective on judgment and choice: Mapping bounded rationality". </w:t>
      </w:r>
      <w:proofErr w:type="gramStart"/>
      <w:r w:rsidRPr="00730923">
        <w:rPr>
          <w:i/>
          <w:color w:val="000000"/>
          <w:sz w:val="20"/>
        </w:rPr>
        <w:t>American Psychologist</w:t>
      </w:r>
      <w:r w:rsidRPr="00730923">
        <w:rPr>
          <w:color w:val="000000"/>
          <w:sz w:val="20"/>
        </w:rPr>
        <w:t xml:space="preserve"> 58 (9): 697–720.</w:t>
      </w:r>
      <w:proofErr w:type="gramEnd"/>
    </w:p>
  </w:footnote>
  <w:footnote w:id="7">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color w:val="000000"/>
          <w:sz w:val="20"/>
        </w:rPr>
        <w:t xml:space="preserve">Robert Jervis, "War and Misperception," </w:t>
      </w:r>
      <w:r w:rsidRPr="00730923">
        <w:rPr>
          <w:i/>
          <w:color w:val="000000"/>
          <w:sz w:val="20"/>
        </w:rPr>
        <w:t>The Journal of Interdisciplinary History</w:t>
      </w:r>
      <w:r w:rsidRPr="00730923">
        <w:rPr>
          <w:color w:val="000000"/>
          <w:sz w:val="20"/>
        </w:rPr>
        <w:t>, Vol. XVIII: 4 (Spring 1988) p675-700.</w:t>
      </w:r>
      <w:proofErr w:type="gramEnd"/>
    </w:p>
  </w:footnote>
  <w:footnote w:id="8">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rFonts w:eastAsiaTheme="minorHAnsi" w:cstheme="minorBidi"/>
          <w:sz w:val="20"/>
          <w:szCs w:val="20"/>
        </w:rPr>
        <w:t xml:space="preserve">Jervis, “War and Misperception.”  </w:t>
      </w:r>
      <w:r w:rsidRPr="00730923">
        <w:rPr>
          <w:sz w:val="20"/>
        </w:rPr>
        <w:t>We will return to the latter in the case studies below.</w:t>
      </w:r>
    </w:p>
  </w:footnote>
  <w:footnote w:id="9">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rPr>
        <w:t xml:space="preserve">Herbert Simon, </w:t>
      </w:r>
      <w:r w:rsidRPr="00730923">
        <w:rPr>
          <w:i/>
          <w:color w:val="000000"/>
          <w:sz w:val="20"/>
        </w:rPr>
        <w:t>Models of Man</w:t>
      </w:r>
      <w:r w:rsidRPr="00730923">
        <w:rPr>
          <w:color w:val="000000"/>
          <w:sz w:val="20"/>
        </w:rPr>
        <w:t>, (New York: Wiley, 1957).</w:t>
      </w:r>
    </w:p>
  </w:footnote>
  <w:footnote w:id="10">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rPr>
        <w:t xml:space="preserve">James D. Fearon, "Rationalist explanations for war," </w:t>
      </w:r>
      <w:r w:rsidRPr="00730923">
        <w:rPr>
          <w:i/>
          <w:color w:val="000000"/>
          <w:sz w:val="20"/>
        </w:rPr>
        <w:t>International Organization</w:t>
      </w:r>
      <w:r w:rsidRPr="00730923">
        <w:rPr>
          <w:color w:val="000000"/>
          <w:sz w:val="20"/>
        </w:rPr>
        <w:t xml:space="preserve"> 49 (3) (1995): 379-414.</w:t>
      </w:r>
    </w:p>
  </w:footnote>
  <w:footnote w:id="11">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rFonts w:eastAsiaTheme="minorHAnsi" w:cstheme="minorBidi"/>
          <w:sz w:val="20"/>
          <w:szCs w:val="20"/>
        </w:rPr>
        <w:t>Cohen 1997.</w:t>
      </w:r>
    </w:p>
  </w:footnote>
  <w:footnote w:id="12">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rPr>
        <w:t xml:space="preserve">Jack S. Levy, "Misperception and the Causes of War: Theoretical Linkages and Analytical Problems," </w:t>
      </w:r>
      <w:r w:rsidRPr="00730923">
        <w:rPr>
          <w:i/>
          <w:color w:val="000000"/>
          <w:sz w:val="20"/>
        </w:rPr>
        <w:t>World Politics</w:t>
      </w:r>
      <w:r w:rsidRPr="00730923">
        <w:rPr>
          <w:color w:val="000000"/>
          <w:sz w:val="20"/>
        </w:rPr>
        <w:t>, Vol. 36, No. 1 (October 1983)</w:t>
      </w:r>
      <w:r w:rsidRPr="00730923">
        <w:rPr>
          <w:rFonts w:eastAsiaTheme="minorHAnsi" w:cstheme="minorBidi"/>
          <w:sz w:val="20"/>
          <w:szCs w:val="20"/>
        </w:rPr>
        <w:t>, p82-87.</w:t>
      </w:r>
    </w:p>
  </w:footnote>
  <w:footnote w:id="13">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color w:val="000000"/>
          <w:sz w:val="20"/>
        </w:rPr>
        <w:t xml:space="preserve">Frank C. </w:t>
      </w:r>
      <w:proofErr w:type="spellStart"/>
      <w:r w:rsidRPr="00730923">
        <w:rPr>
          <w:color w:val="000000"/>
          <w:sz w:val="20"/>
        </w:rPr>
        <w:t>Zagare</w:t>
      </w:r>
      <w:proofErr w:type="spellEnd"/>
      <w:r w:rsidRPr="00730923">
        <w:rPr>
          <w:color w:val="000000"/>
          <w:sz w:val="20"/>
        </w:rPr>
        <w:t>, "Rationality and Deterrence," World Politics, Vol. 42, No. 2 (January 1990), p238-260.</w:t>
      </w:r>
      <w:proofErr w:type="gramEnd"/>
    </w:p>
  </w:footnote>
  <w:footnote w:id="14">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spellStart"/>
      <w:r w:rsidRPr="00730923">
        <w:rPr>
          <w:rFonts w:eastAsiaTheme="minorHAnsi" w:cstheme="minorBidi"/>
          <w:sz w:val="20"/>
          <w:szCs w:val="20"/>
        </w:rPr>
        <w:t>Zagare</w:t>
      </w:r>
      <w:proofErr w:type="spellEnd"/>
      <w:r w:rsidRPr="00730923">
        <w:rPr>
          <w:rFonts w:eastAsiaTheme="minorHAnsi" w:cstheme="minorBidi"/>
          <w:sz w:val="20"/>
          <w:szCs w:val="20"/>
        </w:rPr>
        <w:t xml:space="preserve">, “Rationality,” </w:t>
      </w:r>
      <w:r w:rsidRPr="00730923">
        <w:rPr>
          <w:color w:val="000000"/>
          <w:sz w:val="20"/>
        </w:rPr>
        <w:t>p243.</w:t>
      </w:r>
    </w:p>
  </w:footnote>
  <w:footnote w:id="15">
    <w:p w:rsidR="00084131" w:rsidRPr="00730923" w:rsidRDefault="00084131" w:rsidP="00CC6E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sz w:val="20"/>
        </w:rPr>
      </w:pPr>
      <w:r w:rsidRPr="00730923">
        <w:rPr>
          <w:rStyle w:val="FootnoteReference"/>
          <w:sz w:val="20"/>
        </w:rPr>
        <w:footnoteRef/>
      </w:r>
      <w:r w:rsidRPr="00730923">
        <w:rPr>
          <w:sz w:val="20"/>
        </w:rPr>
        <w:t xml:space="preserve"> As the war progressed, Goering found himself at odds with Himmler and </w:t>
      </w:r>
      <w:proofErr w:type="spellStart"/>
      <w:r w:rsidRPr="00730923">
        <w:rPr>
          <w:sz w:val="20"/>
        </w:rPr>
        <w:t>Heydrich</w:t>
      </w:r>
      <w:proofErr w:type="spellEnd"/>
      <w:r w:rsidRPr="00730923">
        <w:rPr>
          <w:sz w:val="20"/>
        </w:rPr>
        <w:t xml:space="preserve">, concerned as he was about the economic waste of the genocide program.  Meanwhile, during the Stalingrad calamity Hitler not only admitted to Himmler the possibility of losing the war, but that because of this the pace of the genocide should be increased.  “Should we win the battle, no one will ask us afterwards how we did it.  Should we lose, </w:t>
      </w:r>
      <w:proofErr w:type="gramStart"/>
      <w:r w:rsidRPr="00730923">
        <w:rPr>
          <w:sz w:val="20"/>
        </w:rPr>
        <w:t>then</w:t>
      </w:r>
      <w:proofErr w:type="gramEnd"/>
      <w:r w:rsidRPr="00730923">
        <w:rPr>
          <w:sz w:val="20"/>
        </w:rPr>
        <w:t xml:space="preserve"> we shall at the very least have hit decisively those subversives.  Therefore, Himmler, I have after much deliberation decided to blot out once and for all the biological bases of Judaism, so that if the Aryan peoples emerge weakened from this conflict [that is, if Germany loses the war with Russia], at least a crippling blow will have been dealt to those other forces.”  Cited from </w:t>
      </w:r>
      <w:r w:rsidRPr="00730923">
        <w:rPr>
          <w:color w:val="000000"/>
          <w:sz w:val="20"/>
        </w:rPr>
        <w:t xml:space="preserve">M.J. Cohen and John Major, </w:t>
      </w:r>
      <w:r w:rsidRPr="00730923">
        <w:rPr>
          <w:i/>
          <w:color w:val="000000"/>
          <w:sz w:val="20"/>
        </w:rPr>
        <w:t>History in Quotations: Reflecting 5000 Years of World History</w:t>
      </w:r>
      <w:r w:rsidRPr="00730923">
        <w:rPr>
          <w:color w:val="000000"/>
          <w:sz w:val="20"/>
        </w:rPr>
        <w:t>, (London: Cassell, 2006)</w:t>
      </w:r>
      <w:r w:rsidRPr="00730923">
        <w:rPr>
          <w:sz w:val="20"/>
        </w:rPr>
        <w:t xml:space="preserve">, p839.  See also </w:t>
      </w:r>
      <w:r w:rsidRPr="00730923">
        <w:rPr>
          <w:sz w:val="20"/>
          <w:lang w:eastAsia="ja-JP"/>
        </w:rPr>
        <w:t xml:space="preserve">Raul </w:t>
      </w:r>
      <w:proofErr w:type="spellStart"/>
      <w:r w:rsidRPr="00730923">
        <w:rPr>
          <w:sz w:val="20"/>
          <w:lang w:eastAsia="ja-JP"/>
        </w:rPr>
        <w:t>Hilberg</w:t>
      </w:r>
      <w:proofErr w:type="spellEnd"/>
      <w:r w:rsidRPr="00730923">
        <w:rPr>
          <w:sz w:val="20"/>
          <w:lang w:eastAsia="ja-JP"/>
        </w:rPr>
        <w:t xml:space="preserve">, </w:t>
      </w:r>
      <w:r w:rsidRPr="00730923">
        <w:rPr>
          <w:i/>
          <w:sz w:val="20"/>
          <w:lang w:eastAsia="ja-JP"/>
        </w:rPr>
        <w:t>The Destruction of the European Jews</w:t>
      </w:r>
      <w:r w:rsidRPr="00730923">
        <w:rPr>
          <w:sz w:val="20"/>
          <w:lang w:eastAsia="ja-JP"/>
        </w:rPr>
        <w:t xml:space="preserve">, (New York: Holmes &amp; Meier, 1985).  In the end, </w:t>
      </w:r>
      <w:r w:rsidRPr="00730923">
        <w:rPr>
          <w:sz w:val="20"/>
        </w:rPr>
        <w:t xml:space="preserve">of some 10 million European Jews, some 6.5 million were murdered, to say nothing of millions of other Poles, Gypsies, and political prisoners.  </w:t>
      </w:r>
      <w:proofErr w:type="gramStart"/>
      <w:r w:rsidRPr="00730923">
        <w:rPr>
          <w:sz w:val="20"/>
        </w:rPr>
        <w:t xml:space="preserve">John </w:t>
      </w:r>
      <w:proofErr w:type="spellStart"/>
      <w:r w:rsidRPr="00730923">
        <w:rPr>
          <w:sz w:val="20"/>
        </w:rPr>
        <w:t>Pimlott</w:t>
      </w:r>
      <w:proofErr w:type="spellEnd"/>
      <w:r w:rsidRPr="00730923">
        <w:rPr>
          <w:sz w:val="20"/>
        </w:rPr>
        <w:t xml:space="preserve">, </w:t>
      </w:r>
      <w:r w:rsidRPr="00730923">
        <w:rPr>
          <w:i/>
          <w:sz w:val="20"/>
        </w:rPr>
        <w:t>Atlas of World War II</w:t>
      </w:r>
      <w:r w:rsidRPr="00730923">
        <w:rPr>
          <w:sz w:val="20"/>
        </w:rPr>
        <w:t>, (Running Press, 2006), p42.</w:t>
      </w:r>
      <w:proofErr w:type="gramEnd"/>
    </w:p>
  </w:footnote>
  <w:footnote w:id="16">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rPr>
        <w:t>More specifically, these preferences can be observed in terms of what specific ends are to be achieved, the behaviours deemed acceptable for achieving them, and the types and degrees of costs willing to be endured.</w:t>
      </w:r>
    </w:p>
  </w:footnote>
  <w:footnote w:id="17">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szCs w:val="20"/>
        </w:rPr>
        <w:t xml:space="preserve">Cited in </w:t>
      </w:r>
      <w:proofErr w:type="spellStart"/>
      <w:r w:rsidRPr="00730923">
        <w:rPr>
          <w:color w:val="000000"/>
          <w:sz w:val="20"/>
          <w:szCs w:val="20"/>
        </w:rPr>
        <w:t>Pimlott</w:t>
      </w:r>
      <w:proofErr w:type="spellEnd"/>
      <w:r w:rsidRPr="00730923">
        <w:rPr>
          <w:color w:val="000000"/>
          <w:sz w:val="20"/>
          <w:szCs w:val="20"/>
        </w:rPr>
        <w:t xml:space="preserve">, </w:t>
      </w:r>
      <w:r w:rsidRPr="00730923">
        <w:rPr>
          <w:i/>
          <w:color w:val="000000"/>
          <w:sz w:val="20"/>
          <w:szCs w:val="20"/>
        </w:rPr>
        <w:t>Atlas</w:t>
      </w:r>
      <w:r w:rsidRPr="00730923">
        <w:rPr>
          <w:color w:val="000000"/>
          <w:sz w:val="20"/>
          <w:szCs w:val="20"/>
        </w:rPr>
        <w:t xml:space="preserve"> p80.</w:t>
      </w:r>
    </w:p>
  </w:footnote>
  <w:footnote w:id="18">
    <w:p w:rsidR="00084131" w:rsidRPr="00730923" w:rsidRDefault="00084131">
      <w:pPr>
        <w:pStyle w:val="FootnoteText"/>
        <w:rPr>
          <w:sz w:val="20"/>
        </w:rPr>
      </w:pPr>
      <w:r w:rsidRPr="00730923">
        <w:rPr>
          <w:rStyle w:val="FootnoteReference"/>
          <w:sz w:val="20"/>
        </w:rPr>
        <w:footnoteRef/>
      </w:r>
      <w:r w:rsidRPr="00730923">
        <w:rPr>
          <w:sz w:val="20"/>
        </w:rPr>
        <w:t xml:space="preserve"> Cited from John Keegan, </w:t>
      </w:r>
      <w:r w:rsidRPr="00730923">
        <w:rPr>
          <w:i/>
          <w:sz w:val="20"/>
        </w:rPr>
        <w:t>The Second World War</w:t>
      </w:r>
      <w:r w:rsidRPr="00730923">
        <w:rPr>
          <w:sz w:val="20"/>
        </w:rPr>
        <w:t xml:space="preserve">, (Penguin, 2005), </w:t>
      </w:r>
      <w:proofErr w:type="gramStart"/>
      <w:r w:rsidRPr="00730923">
        <w:rPr>
          <w:sz w:val="20"/>
        </w:rPr>
        <w:t>p174</w:t>
      </w:r>
      <w:proofErr w:type="gramEnd"/>
      <w:r w:rsidRPr="00730923">
        <w:rPr>
          <w:sz w:val="20"/>
        </w:rPr>
        <w:t>.</w:t>
      </w:r>
    </w:p>
  </w:footnote>
  <w:footnote w:id="19">
    <w:p w:rsidR="00084131" w:rsidRPr="00730923" w:rsidRDefault="00084131" w:rsidP="009F5232">
      <w:pPr>
        <w:pStyle w:val="FootnoteText"/>
        <w:rPr>
          <w:sz w:val="20"/>
        </w:rPr>
      </w:pPr>
      <w:r w:rsidRPr="00730923">
        <w:rPr>
          <w:rStyle w:val="FootnoteReference"/>
          <w:sz w:val="20"/>
        </w:rPr>
        <w:footnoteRef/>
      </w:r>
      <w:r w:rsidRPr="00730923">
        <w:rPr>
          <w:sz w:val="20"/>
        </w:rPr>
        <w:t xml:space="preserve"> Cited from Keegan, </w:t>
      </w:r>
      <w:r w:rsidRPr="00730923">
        <w:rPr>
          <w:i/>
          <w:sz w:val="20"/>
        </w:rPr>
        <w:t>Second World War</w:t>
      </w:r>
      <w:r w:rsidRPr="00730923">
        <w:rPr>
          <w:sz w:val="20"/>
        </w:rPr>
        <w:t xml:space="preserve">, </w:t>
      </w:r>
      <w:proofErr w:type="gramStart"/>
      <w:r w:rsidRPr="00730923">
        <w:rPr>
          <w:sz w:val="20"/>
        </w:rPr>
        <w:t>p174</w:t>
      </w:r>
      <w:proofErr w:type="gramEnd"/>
      <w:r w:rsidRPr="00730923">
        <w:rPr>
          <w:sz w:val="20"/>
        </w:rPr>
        <w:t>.</w:t>
      </w:r>
    </w:p>
  </w:footnote>
  <w:footnote w:id="20">
    <w:p w:rsidR="00084131" w:rsidRPr="00730923" w:rsidRDefault="00084131" w:rsidP="009F5232">
      <w:pPr>
        <w:pStyle w:val="FootnoteText"/>
        <w:rPr>
          <w:sz w:val="20"/>
        </w:rPr>
      </w:pPr>
      <w:r w:rsidRPr="00730923">
        <w:rPr>
          <w:rStyle w:val="FootnoteReference"/>
          <w:sz w:val="20"/>
        </w:rPr>
        <w:footnoteRef/>
      </w:r>
      <w:r w:rsidRPr="00730923">
        <w:rPr>
          <w:sz w:val="20"/>
        </w:rPr>
        <w:t xml:space="preserve"> </w:t>
      </w:r>
      <w:r w:rsidRPr="00730923">
        <w:rPr>
          <w:color w:val="000000"/>
          <w:sz w:val="20"/>
        </w:rPr>
        <w:t xml:space="preserve">Alan R. Millett and Williamson Murray (eds), </w:t>
      </w:r>
      <w:r w:rsidRPr="00730923">
        <w:rPr>
          <w:i/>
          <w:color w:val="000000"/>
          <w:sz w:val="20"/>
        </w:rPr>
        <w:t>Military Effectiveness</w:t>
      </w:r>
      <w:r w:rsidRPr="00730923">
        <w:rPr>
          <w:color w:val="000000"/>
          <w:sz w:val="20"/>
        </w:rPr>
        <w:t>, 3 Vols. (Cambridge University Press, 2010 [])</w:t>
      </w:r>
      <w:proofErr w:type="gramStart"/>
      <w:r w:rsidRPr="00730923">
        <w:rPr>
          <w:sz w:val="20"/>
        </w:rPr>
        <w:t xml:space="preserve">, </w:t>
      </w:r>
      <w:r w:rsidRPr="00730923">
        <w:rPr>
          <w:color w:val="000000"/>
          <w:sz w:val="20"/>
          <w:szCs w:val="20"/>
        </w:rPr>
        <w:t>p134.</w:t>
      </w:r>
      <w:proofErr w:type="gramEnd"/>
    </w:p>
  </w:footnote>
  <w:footnote w:id="21">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szCs w:val="20"/>
        </w:rPr>
        <w:t xml:space="preserve">Cited from Millett and Murray, </w:t>
      </w:r>
      <w:r w:rsidRPr="00730923">
        <w:rPr>
          <w:i/>
          <w:color w:val="000000"/>
          <w:sz w:val="20"/>
          <w:szCs w:val="20"/>
        </w:rPr>
        <w:t>Effectiveness</w:t>
      </w:r>
      <w:r w:rsidRPr="00730923">
        <w:rPr>
          <w:color w:val="000000"/>
          <w:sz w:val="20"/>
          <w:szCs w:val="20"/>
        </w:rPr>
        <w:t>, p123.</w:t>
      </w:r>
    </w:p>
  </w:footnote>
  <w:footnote w:id="22">
    <w:p w:rsidR="00084131" w:rsidRPr="00730923" w:rsidRDefault="00084131">
      <w:pPr>
        <w:pStyle w:val="FootnoteText"/>
        <w:rPr>
          <w:sz w:val="20"/>
        </w:rPr>
      </w:pPr>
      <w:r w:rsidRPr="00730923">
        <w:rPr>
          <w:rStyle w:val="FootnoteReference"/>
          <w:sz w:val="20"/>
        </w:rPr>
        <w:footnoteRef/>
      </w:r>
      <w:r w:rsidRPr="00730923">
        <w:rPr>
          <w:sz w:val="20"/>
        </w:rPr>
        <w:t xml:space="preserve"> Cited from </w:t>
      </w:r>
      <w:r w:rsidRPr="00730923">
        <w:rPr>
          <w:color w:val="000000"/>
          <w:sz w:val="20"/>
          <w:szCs w:val="20"/>
        </w:rPr>
        <w:t xml:space="preserve">Millett and Murray, </w:t>
      </w:r>
      <w:r w:rsidRPr="00730923">
        <w:rPr>
          <w:i/>
          <w:color w:val="000000"/>
          <w:sz w:val="20"/>
          <w:szCs w:val="20"/>
        </w:rPr>
        <w:t>Effectiveness</w:t>
      </w:r>
      <w:r w:rsidRPr="00730923">
        <w:rPr>
          <w:color w:val="000000"/>
          <w:sz w:val="20"/>
          <w:szCs w:val="20"/>
        </w:rPr>
        <w:t xml:space="preserve">, p125.  </w:t>
      </w:r>
      <w:proofErr w:type="spellStart"/>
      <w:r w:rsidRPr="00730923">
        <w:rPr>
          <w:color w:val="000000"/>
          <w:sz w:val="20"/>
          <w:szCs w:val="20"/>
        </w:rPr>
        <w:t>Halder</w:t>
      </w:r>
      <w:proofErr w:type="spellEnd"/>
      <w:r w:rsidRPr="00730923">
        <w:rPr>
          <w:color w:val="000000"/>
          <w:sz w:val="20"/>
          <w:szCs w:val="20"/>
        </w:rPr>
        <w:t xml:space="preserve"> is similarly straightforward elsewhere.  </w:t>
      </w:r>
      <w:r w:rsidRPr="00730923">
        <w:rPr>
          <w:sz w:val="20"/>
          <w:lang w:eastAsia="ja-JP"/>
        </w:rPr>
        <w:t xml:space="preserve">“We under-estimated Russia; we reckoned with 200 divisions, but we have already identified 360.”  Cited from </w:t>
      </w:r>
      <w:r w:rsidRPr="00730923">
        <w:rPr>
          <w:sz w:val="20"/>
        </w:rPr>
        <w:t xml:space="preserve">B.H. Liddell Hart, </w:t>
      </w:r>
      <w:r w:rsidRPr="00730923">
        <w:rPr>
          <w:i/>
          <w:sz w:val="20"/>
        </w:rPr>
        <w:t>The Other Side of the Hill</w:t>
      </w:r>
      <w:r w:rsidRPr="00730923">
        <w:rPr>
          <w:sz w:val="20"/>
        </w:rPr>
        <w:t xml:space="preserve">, (London: Pan Books, 1983), </w:t>
      </w:r>
      <w:proofErr w:type="gramStart"/>
      <w:r w:rsidRPr="00730923">
        <w:rPr>
          <w:sz w:val="20"/>
          <w:lang w:eastAsia="ja-JP"/>
        </w:rPr>
        <w:t>p260</w:t>
      </w:r>
      <w:proofErr w:type="gramEnd"/>
      <w:r w:rsidRPr="00730923">
        <w:rPr>
          <w:sz w:val="20"/>
          <w:lang w:eastAsia="ja-JP"/>
        </w:rPr>
        <w:t>.</w:t>
      </w:r>
    </w:p>
  </w:footnote>
  <w:footnote w:id="23">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szCs w:val="20"/>
        </w:rPr>
        <w:t xml:space="preserve">Cited from Millett and Murray, </w:t>
      </w:r>
      <w:r w:rsidRPr="00730923">
        <w:rPr>
          <w:i/>
          <w:color w:val="000000"/>
          <w:sz w:val="20"/>
          <w:szCs w:val="20"/>
        </w:rPr>
        <w:t>Effectiveness</w:t>
      </w:r>
      <w:r w:rsidRPr="00730923">
        <w:rPr>
          <w:color w:val="000000"/>
          <w:sz w:val="20"/>
          <w:szCs w:val="20"/>
        </w:rPr>
        <w:t>, p124.</w:t>
      </w:r>
    </w:p>
  </w:footnote>
  <w:footnote w:id="24">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szCs w:val="20"/>
        </w:rPr>
        <w:t xml:space="preserve">By December 31, the Red Army the Soviets had lost about 1.6 million men (a total of 229 divisional equivalents), yet simultaneously raised 821 divisional equivalents, leaving total army strength at 4.2 million, organized into 43 armies. </w:t>
      </w:r>
      <w:proofErr w:type="gramStart"/>
      <w:r w:rsidRPr="00730923">
        <w:rPr>
          <w:color w:val="000000"/>
          <w:sz w:val="20"/>
        </w:rPr>
        <w:t xml:space="preserve">David </w:t>
      </w:r>
      <w:proofErr w:type="spellStart"/>
      <w:r w:rsidRPr="00730923">
        <w:rPr>
          <w:color w:val="000000"/>
          <w:sz w:val="20"/>
        </w:rPr>
        <w:t>Glantz</w:t>
      </w:r>
      <w:proofErr w:type="spellEnd"/>
      <w:r w:rsidRPr="00730923">
        <w:rPr>
          <w:color w:val="000000"/>
          <w:sz w:val="20"/>
        </w:rPr>
        <w:t xml:space="preserve"> </w:t>
      </w:r>
      <w:r w:rsidRPr="00730923">
        <w:rPr>
          <w:i/>
          <w:color w:val="000000"/>
          <w:sz w:val="20"/>
        </w:rPr>
        <w:t>et al</w:t>
      </w:r>
      <w:r w:rsidRPr="00730923">
        <w:rPr>
          <w:color w:val="000000"/>
          <w:sz w:val="20"/>
        </w:rPr>
        <w:t xml:space="preserve">, </w:t>
      </w:r>
      <w:r w:rsidRPr="00730923">
        <w:rPr>
          <w:i/>
          <w:color w:val="000000"/>
          <w:sz w:val="20"/>
        </w:rPr>
        <w:t>Slaughterhouse: The Handbook of the Eastern Front</w:t>
      </w:r>
      <w:r w:rsidRPr="00730923">
        <w:rPr>
          <w:color w:val="000000"/>
          <w:sz w:val="20"/>
        </w:rPr>
        <w:t>, (</w:t>
      </w:r>
      <w:proofErr w:type="spellStart"/>
      <w:r w:rsidRPr="00730923">
        <w:rPr>
          <w:color w:val="000000"/>
          <w:sz w:val="20"/>
        </w:rPr>
        <w:t>Aberjona</w:t>
      </w:r>
      <w:proofErr w:type="spellEnd"/>
      <w:r w:rsidRPr="00730923">
        <w:rPr>
          <w:color w:val="000000"/>
          <w:sz w:val="20"/>
        </w:rPr>
        <w:t xml:space="preserve"> Press, 2004)</w:t>
      </w:r>
      <w:r w:rsidRPr="00730923">
        <w:rPr>
          <w:color w:val="000000"/>
          <w:sz w:val="20"/>
          <w:szCs w:val="20"/>
        </w:rPr>
        <w:t>, p18.</w:t>
      </w:r>
      <w:proofErr w:type="gramEnd"/>
    </w:p>
  </w:footnote>
  <w:footnote w:id="25">
    <w:p w:rsidR="00084131" w:rsidRPr="00730923" w:rsidRDefault="00084131">
      <w:pPr>
        <w:pStyle w:val="FootnoteText"/>
        <w:rPr>
          <w:sz w:val="20"/>
        </w:rPr>
      </w:pPr>
      <w:r w:rsidRPr="00730923">
        <w:rPr>
          <w:rStyle w:val="FootnoteReference"/>
          <w:sz w:val="20"/>
        </w:rPr>
        <w:footnoteRef/>
      </w:r>
      <w:r w:rsidRPr="00730923">
        <w:rPr>
          <w:sz w:val="20"/>
        </w:rPr>
        <w:t xml:space="preserve"> See, for example, </w:t>
      </w:r>
      <w:r w:rsidRPr="00730923">
        <w:rPr>
          <w:sz w:val="20"/>
          <w:lang w:eastAsia="ja-JP"/>
        </w:rPr>
        <w:t xml:space="preserve">F.W. von </w:t>
      </w:r>
      <w:proofErr w:type="spellStart"/>
      <w:r w:rsidRPr="00730923">
        <w:rPr>
          <w:sz w:val="20"/>
          <w:lang w:eastAsia="ja-JP"/>
        </w:rPr>
        <w:t>Mellenthin</w:t>
      </w:r>
      <w:proofErr w:type="spellEnd"/>
      <w:r w:rsidRPr="00730923">
        <w:rPr>
          <w:sz w:val="20"/>
          <w:lang w:eastAsia="ja-JP"/>
        </w:rPr>
        <w:t xml:space="preserve">, </w:t>
      </w:r>
      <w:r w:rsidRPr="00730923">
        <w:rPr>
          <w:i/>
          <w:sz w:val="20"/>
          <w:lang w:eastAsia="ja-JP"/>
        </w:rPr>
        <w:t>Panzer Battles: A Study of the Employment of Armour in the Second World War</w:t>
      </w:r>
      <w:r w:rsidRPr="00730923">
        <w:rPr>
          <w:sz w:val="20"/>
          <w:lang w:eastAsia="ja-JP"/>
        </w:rPr>
        <w:t xml:space="preserve">, (Old </w:t>
      </w:r>
      <w:proofErr w:type="spellStart"/>
      <w:r w:rsidRPr="00730923">
        <w:rPr>
          <w:sz w:val="20"/>
          <w:lang w:eastAsia="ja-JP"/>
        </w:rPr>
        <w:t>Saybrook</w:t>
      </w:r>
      <w:proofErr w:type="spellEnd"/>
      <w:r w:rsidRPr="00730923">
        <w:rPr>
          <w:sz w:val="20"/>
          <w:lang w:eastAsia="ja-JP"/>
        </w:rPr>
        <w:t xml:space="preserve">, CT: </w:t>
      </w:r>
      <w:proofErr w:type="spellStart"/>
      <w:r w:rsidRPr="00730923">
        <w:rPr>
          <w:sz w:val="20"/>
          <w:lang w:eastAsia="ja-JP"/>
        </w:rPr>
        <w:t>Konecky</w:t>
      </w:r>
      <w:proofErr w:type="spellEnd"/>
      <w:r w:rsidRPr="00730923">
        <w:rPr>
          <w:sz w:val="20"/>
          <w:lang w:eastAsia="ja-JP"/>
        </w:rPr>
        <w:t xml:space="preserve"> &amp; </w:t>
      </w:r>
      <w:proofErr w:type="spellStart"/>
      <w:r w:rsidRPr="00730923">
        <w:rPr>
          <w:sz w:val="20"/>
          <w:lang w:eastAsia="ja-JP"/>
        </w:rPr>
        <w:t>Konecky</w:t>
      </w:r>
      <w:proofErr w:type="spellEnd"/>
      <w:r w:rsidRPr="00730923">
        <w:rPr>
          <w:sz w:val="20"/>
          <w:lang w:eastAsia="ja-JP"/>
        </w:rPr>
        <w:t>, 1956)</w:t>
      </w:r>
      <w:r w:rsidRPr="00730923">
        <w:rPr>
          <w:sz w:val="20"/>
        </w:rPr>
        <w:t>.</w:t>
      </w:r>
    </w:p>
  </w:footnote>
  <w:footnote w:id="26">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sz w:val="20"/>
          <w:lang w:eastAsia="ja-JP"/>
        </w:rPr>
        <w:t xml:space="preserve">Richard Overy, </w:t>
      </w:r>
      <w:r w:rsidRPr="00730923">
        <w:rPr>
          <w:i/>
          <w:sz w:val="20"/>
          <w:lang w:eastAsia="ja-JP"/>
        </w:rPr>
        <w:t>Russia’s War: Blood on the Snow</w:t>
      </w:r>
      <w:r w:rsidRPr="00730923">
        <w:rPr>
          <w:sz w:val="20"/>
          <w:lang w:eastAsia="ja-JP"/>
        </w:rPr>
        <w:t>, (New York: TV Books, 1997).</w:t>
      </w:r>
    </w:p>
  </w:footnote>
  <w:footnote w:id="27">
    <w:p w:rsidR="00084131" w:rsidRPr="00730923" w:rsidRDefault="00084131">
      <w:pPr>
        <w:pStyle w:val="FootnoteText"/>
        <w:rPr>
          <w:sz w:val="20"/>
        </w:rPr>
      </w:pPr>
      <w:r w:rsidRPr="00730923">
        <w:rPr>
          <w:rStyle w:val="FootnoteReference"/>
          <w:sz w:val="20"/>
        </w:rPr>
        <w:footnoteRef/>
      </w:r>
      <w:r w:rsidRPr="00730923">
        <w:rPr>
          <w:sz w:val="20"/>
        </w:rPr>
        <w:t xml:space="preserve"> Cited from Keegan, </w:t>
      </w:r>
      <w:r w:rsidRPr="00730923">
        <w:rPr>
          <w:i/>
          <w:sz w:val="20"/>
        </w:rPr>
        <w:t>Second World War</w:t>
      </w:r>
      <w:r w:rsidRPr="00730923">
        <w:rPr>
          <w:sz w:val="20"/>
        </w:rPr>
        <w:t>,</w:t>
      </w:r>
      <w:r w:rsidRPr="00730923">
        <w:rPr>
          <w:sz w:val="20"/>
          <w:szCs w:val="29"/>
        </w:rPr>
        <w:t xml:space="preserve"> </w:t>
      </w:r>
      <w:proofErr w:type="gramStart"/>
      <w:r w:rsidRPr="00730923">
        <w:rPr>
          <w:sz w:val="20"/>
          <w:szCs w:val="29"/>
        </w:rPr>
        <w:t>p237</w:t>
      </w:r>
      <w:proofErr w:type="gramEnd"/>
      <w:r w:rsidRPr="00730923">
        <w:rPr>
          <w:sz w:val="20"/>
          <w:szCs w:val="29"/>
        </w:rPr>
        <w:t>.</w:t>
      </w:r>
    </w:p>
  </w:footnote>
  <w:footnote w:id="28">
    <w:p w:rsidR="00084131" w:rsidRPr="00730923" w:rsidRDefault="00084131">
      <w:pPr>
        <w:pStyle w:val="FootnoteText"/>
        <w:rPr>
          <w:sz w:val="20"/>
        </w:rPr>
      </w:pPr>
      <w:r w:rsidRPr="00730923">
        <w:rPr>
          <w:rStyle w:val="FootnoteReference"/>
          <w:sz w:val="20"/>
        </w:rPr>
        <w:footnoteRef/>
      </w:r>
      <w:r w:rsidRPr="00730923">
        <w:rPr>
          <w:sz w:val="20"/>
        </w:rPr>
        <w:t xml:space="preserve"> Sir George Sansom, “Japan’s Fatal Blunder,” in Robert J. Art and Kenneth N. Waltz, </w:t>
      </w:r>
      <w:r w:rsidRPr="00730923">
        <w:rPr>
          <w:i/>
          <w:sz w:val="20"/>
        </w:rPr>
        <w:t>The Use of Force</w:t>
      </w:r>
      <w:r w:rsidRPr="00730923">
        <w:rPr>
          <w:sz w:val="20"/>
        </w:rPr>
        <w:t xml:space="preserve">, (Lanham: Rowman &amp; Littlefield, 2009), p167-78 [originally in </w:t>
      </w:r>
      <w:r w:rsidRPr="00730923">
        <w:rPr>
          <w:i/>
          <w:sz w:val="20"/>
        </w:rPr>
        <w:t>International Affairs</w:t>
      </w:r>
      <w:r w:rsidRPr="00730923">
        <w:rPr>
          <w:sz w:val="20"/>
        </w:rPr>
        <w:t>, Vol. 24, no. 4 (October 1948), p543-555].  The Tripartite Pact was concluded in September 1941.</w:t>
      </w:r>
    </w:p>
  </w:footnote>
  <w:footnote w:id="29">
    <w:p w:rsidR="00084131" w:rsidRPr="00730923" w:rsidRDefault="00084131">
      <w:pPr>
        <w:pStyle w:val="FootnoteText"/>
        <w:rPr>
          <w:sz w:val="20"/>
        </w:rPr>
      </w:pPr>
      <w:r w:rsidRPr="00730923">
        <w:rPr>
          <w:rStyle w:val="FootnoteReference"/>
          <w:sz w:val="20"/>
        </w:rPr>
        <w:footnoteRef/>
      </w:r>
      <w:r w:rsidRPr="00730923">
        <w:rPr>
          <w:sz w:val="20"/>
        </w:rPr>
        <w:t xml:space="preserve"> United States Strategic Bombing Survey, cited in Sansom, “Blunder,”</w:t>
      </w:r>
      <w:r w:rsidRPr="00730923">
        <w:rPr>
          <w:color w:val="000000"/>
          <w:sz w:val="20"/>
          <w:szCs w:val="20"/>
        </w:rPr>
        <w:t xml:space="preserve"> p170-1.</w:t>
      </w:r>
    </w:p>
  </w:footnote>
  <w:footnote w:id="30">
    <w:p w:rsidR="00084131" w:rsidRPr="00730923" w:rsidRDefault="00084131">
      <w:pPr>
        <w:pStyle w:val="FootnoteText"/>
        <w:rPr>
          <w:sz w:val="20"/>
        </w:rPr>
      </w:pPr>
      <w:r w:rsidRPr="00730923">
        <w:rPr>
          <w:rStyle w:val="FootnoteReference"/>
          <w:sz w:val="20"/>
        </w:rPr>
        <w:footnoteRef/>
      </w:r>
      <w:r w:rsidRPr="00730923">
        <w:rPr>
          <w:sz w:val="20"/>
        </w:rPr>
        <w:t xml:space="preserve"> Sansom, “Blunder,” </w:t>
      </w:r>
      <w:r w:rsidRPr="00730923">
        <w:rPr>
          <w:color w:val="000000"/>
          <w:sz w:val="20"/>
          <w:szCs w:val="20"/>
        </w:rPr>
        <w:t>p170.</w:t>
      </w:r>
    </w:p>
  </w:footnote>
  <w:footnote w:id="31">
    <w:p w:rsidR="00084131" w:rsidRPr="00730923" w:rsidRDefault="00084131">
      <w:pPr>
        <w:pStyle w:val="FootnoteText"/>
        <w:rPr>
          <w:sz w:val="20"/>
        </w:rPr>
      </w:pPr>
      <w:r w:rsidRPr="00730923">
        <w:rPr>
          <w:rStyle w:val="FootnoteReference"/>
          <w:sz w:val="20"/>
        </w:rPr>
        <w:footnoteRef/>
      </w:r>
      <w:r w:rsidRPr="00730923">
        <w:rPr>
          <w:sz w:val="20"/>
        </w:rPr>
        <w:t xml:space="preserve"> Keegan, </w:t>
      </w:r>
      <w:r w:rsidRPr="00730923">
        <w:rPr>
          <w:i/>
          <w:sz w:val="20"/>
        </w:rPr>
        <w:t>Second World War</w:t>
      </w:r>
      <w:r w:rsidRPr="00730923">
        <w:rPr>
          <w:sz w:val="20"/>
        </w:rPr>
        <w:t>.</w:t>
      </w:r>
    </w:p>
  </w:footnote>
  <w:footnote w:id="32">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color w:val="000000"/>
          <w:sz w:val="20"/>
          <w:szCs w:val="20"/>
        </w:rPr>
        <w:t>Sansom, “Blunder,” p172.</w:t>
      </w:r>
    </w:p>
  </w:footnote>
  <w:footnote w:id="33">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color w:val="000000"/>
          <w:sz w:val="20"/>
          <w:szCs w:val="20"/>
        </w:rPr>
        <w:t>Sansom, “Blunder,” p172-3.</w:t>
      </w:r>
      <w:proofErr w:type="gramEnd"/>
    </w:p>
  </w:footnote>
  <w:footnote w:id="34">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sz w:val="20"/>
        </w:rPr>
        <w:t xml:space="preserve">John Keegan, </w:t>
      </w:r>
      <w:r w:rsidRPr="00730923">
        <w:rPr>
          <w:i/>
          <w:sz w:val="20"/>
        </w:rPr>
        <w:t>Atlas of World War II</w:t>
      </w:r>
      <w:r w:rsidRPr="00730923">
        <w:rPr>
          <w:sz w:val="20"/>
        </w:rPr>
        <w:t xml:space="preserve">, </w:t>
      </w:r>
      <w:r w:rsidRPr="00730923">
        <w:rPr>
          <w:color w:val="000000"/>
          <w:sz w:val="20"/>
        </w:rPr>
        <w:t xml:space="preserve">(New York: HarperCollins, 2006), </w:t>
      </w:r>
      <w:r w:rsidRPr="00730923">
        <w:rPr>
          <w:sz w:val="20"/>
        </w:rPr>
        <w:t>p181.</w:t>
      </w:r>
      <w:proofErr w:type="gramEnd"/>
    </w:p>
  </w:footnote>
  <w:footnote w:id="35">
    <w:p w:rsidR="00084131" w:rsidRPr="00730923" w:rsidRDefault="00084131" w:rsidP="003F37E7">
      <w:pPr>
        <w:pStyle w:val="FootnoteText"/>
        <w:rPr>
          <w:sz w:val="20"/>
        </w:rPr>
      </w:pPr>
      <w:r w:rsidRPr="00730923">
        <w:rPr>
          <w:rStyle w:val="FootnoteReference"/>
          <w:sz w:val="20"/>
        </w:rPr>
        <w:footnoteRef/>
      </w:r>
      <w:r w:rsidRPr="00730923">
        <w:rPr>
          <w:sz w:val="20"/>
        </w:rPr>
        <w:t xml:space="preserve"> For the German high command’s general disdain for logistics during </w:t>
      </w:r>
      <w:r w:rsidRPr="00730923">
        <w:rPr>
          <w:i/>
          <w:sz w:val="20"/>
        </w:rPr>
        <w:t>Barbarossa</w:t>
      </w:r>
      <w:r w:rsidRPr="00730923">
        <w:rPr>
          <w:sz w:val="20"/>
        </w:rPr>
        <w:t xml:space="preserve">, see Look up Millett and Murray, “Effectiveness,” p17 </w:t>
      </w:r>
      <w:proofErr w:type="gramStart"/>
      <w:r w:rsidRPr="00730923">
        <w:rPr>
          <w:sz w:val="20"/>
        </w:rPr>
        <w:t>fn</w:t>
      </w:r>
      <w:proofErr w:type="gramEnd"/>
      <w:r w:rsidRPr="00730923">
        <w:rPr>
          <w:sz w:val="20"/>
        </w:rPr>
        <w:t xml:space="preserve">#36. </w:t>
      </w:r>
    </w:p>
  </w:footnote>
  <w:footnote w:id="36">
    <w:p w:rsidR="00084131" w:rsidRPr="00730923" w:rsidRDefault="00084131">
      <w:pPr>
        <w:pStyle w:val="FootnoteText"/>
        <w:rPr>
          <w:sz w:val="20"/>
        </w:rPr>
      </w:pPr>
      <w:r w:rsidRPr="00730923">
        <w:rPr>
          <w:rStyle w:val="FootnoteReference"/>
          <w:sz w:val="20"/>
        </w:rPr>
        <w:footnoteRef/>
      </w:r>
      <w:r w:rsidRPr="00730923">
        <w:rPr>
          <w:sz w:val="20"/>
        </w:rPr>
        <w:t xml:space="preserve"> See, for example, </w:t>
      </w:r>
      <w:r w:rsidRPr="00730923">
        <w:rPr>
          <w:sz w:val="20"/>
          <w:lang w:eastAsia="ja-JP"/>
        </w:rPr>
        <w:t xml:space="preserve">W. Bruce Lincoln, </w:t>
      </w:r>
      <w:r w:rsidRPr="00730923">
        <w:rPr>
          <w:i/>
          <w:sz w:val="20"/>
          <w:lang w:eastAsia="ja-JP"/>
        </w:rPr>
        <w:t>Passage Through Armageddon: The Russians in War and Revolution, 1914-1918</w:t>
      </w:r>
      <w:r w:rsidRPr="00730923">
        <w:rPr>
          <w:sz w:val="20"/>
          <w:lang w:eastAsia="ja-JP"/>
        </w:rPr>
        <w:t>, (New York: Simon &amp; Schuster, 1986).</w:t>
      </w:r>
    </w:p>
  </w:footnote>
  <w:footnote w:id="37">
    <w:p w:rsidR="00084131" w:rsidRPr="00730923" w:rsidRDefault="00084131">
      <w:pPr>
        <w:pStyle w:val="FootnoteText"/>
        <w:rPr>
          <w:sz w:val="20"/>
        </w:rPr>
      </w:pPr>
      <w:r w:rsidRPr="00730923">
        <w:rPr>
          <w:rStyle w:val="FootnoteReference"/>
          <w:sz w:val="20"/>
        </w:rPr>
        <w:footnoteRef/>
      </w:r>
      <w:r w:rsidRPr="00730923">
        <w:rPr>
          <w:sz w:val="20"/>
        </w:rPr>
        <w:t xml:space="preserve"> </w:t>
      </w:r>
      <w:r w:rsidRPr="00730923">
        <w:rPr>
          <w:rFonts w:eastAsiaTheme="minorHAnsi" w:cs="Times"/>
          <w:bCs/>
          <w:color w:val="000019"/>
          <w:sz w:val="20"/>
          <w:szCs w:val="48"/>
        </w:rPr>
        <w:t xml:space="preserve">Thomas Jefferson, </w:t>
      </w:r>
      <w:r w:rsidRPr="00730923">
        <w:rPr>
          <w:rFonts w:eastAsiaTheme="minorHAnsi" w:cs="Times"/>
          <w:bCs/>
          <w:color w:val="000019"/>
          <w:sz w:val="20"/>
          <w:szCs w:val="32"/>
        </w:rPr>
        <w:t>First Inaugural Address</w:t>
      </w:r>
      <w:r w:rsidRPr="00730923">
        <w:rPr>
          <w:rFonts w:eastAsiaTheme="minorHAnsi" w:cs="Times"/>
          <w:color w:val="000019"/>
          <w:sz w:val="20"/>
          <w:szCs w:val="32"/>
        </w:rPr>
        <w:t>, (March 4, 1801).</w:t>
      </w:r>
    </w:p>
  </w:footnote>
  <w:footnote w:id="38">
    <w:p w:rsidR="00084131" w:rsidRPr="00730923" w:rsidRDefault="00084131">
      <w:pPr>
        <w:pStyle w:val="FootnoteText"/>
        <w:rPr>
          <w:sz w:val="20"/>
        </w:rPr>
      </w:pPr>
      <w:r w:rsidRPr="00730923">
        <w:rPr>
          <w:rStyle w:val="FootnoteReference"/>
          <w:sz w:val="20"/>
        </w:rPr>
        <w:footnoteRef/>
      </w:r>
      <w:r w:rsidRPr="00730923">
        <w:rPr>
          <w:sz w:val="20"/>
        </w:rPr>
        <w:t xml:space="preserve"> </w:t>
      </w:r>
      <w:proofErr w:type="gramStart"/>
      <w:r w:rsidRPr="00730923">
        <w:rPr>
          <w:color w:val="000000"/>
          <w:sz w:val="20"/>
        </w:rPr>
        <w:t>Geoffrey Parker (</w:t>
      </w:r>
      <w:proofErr w:type="spellStart"/>
      <w:r w:rsidRPr="00730923">
        <w:rPr>
          <w:color w:val="000000"/>
          <w:sz w:val="20"/>
        </w:rPr>
        <w:t>ed</w:t>
      </w:r>
      <w:proofErr w:type="spellEnd"/>
      <w:r w:rsidRPr="00730923">
        <w:rPr>
          <w:color w:val="000000"/>
          <w:sz w:val="20"/>
        </w:rPr>
        <w:t xml:space="preserve">), </w:t>
      </w:r>
      <w:r w:rsidRPr="00730923">
        <w:rPr>
          <w:i/>
          <w:color w:val="000000"/>
          <w:sz w:val="20"/>
        </w:rPr>
        <w:t>Cambridge History of War</w:t>
      </w:r>
      <w:r w:rsidRPr="00730923">
        <w:rPr>
          <w:color w:val="000000"/>
          <w:sz w:val="20"/>
        </w:rPr>
        <w:t>, (Cambridge University Press, 2005),</w:t>
      </w:r>
      <w:r w:rsidRPr="00730923">
        <w:rPr>
          <w:sz w:val="20"/>
        </w:rPr>
        <w:t xml:space="preserve"> p225.</w:t>
      </w:r>
      <w:proofErr w:type="gramEnd"/>
    </w:p>
  </w:footnote>
  <w:footnote w:id="39">
    <w:p w:rsidR="00084131" w:rsidRPr="00730923" w:rsidRDefault="00084131">
      <w:pPr>
        <w:pStyle w:val="FootnoteText"/>
        <w:rPr>
          <w:sz w:val="20"/>
        </w:rPr>
      </w:pPr>
      <w:r w:rsidRPr="00730923">
        <w:rPr>
          <w:rStyle w:val="FootnoteReference"/>
          <w:sz w:val="20"/>
        </w:rPr>
        <w:footnoteRef/>
      </w:r>
      <w:r w:rsidRPr="00730923">
        <w:rPr>
          <w:sz w:val="20"/>
        </w:rPr>
        <w:t xml:space="preserve"> Cited from Parker, </w:t>
      </w:r>
      <w:r w:rsidRPr="00730923">
        <w:rPr>
          <w:i/>
          <w:sz w:val="20"/>
        </w:rPr>
        <w:t>History</w:t>
      </w:r>
      <w:r w:rsidRPr="00730923">
        <w:rPr>
          <w:sz w:val="20"/>
        </w:rPr>
        <w:t xml:space="preserve">, </w:t>
      </w:r>
      <w:proofErr w:type="gramStart"/>
      <w:r w:rsidRPr="00730923">
        <w:rPr>
          <w:sz w:val="20"/>
        </w:rPr>
        <w:t>p237</w:t>
      </w:r>
      <w:proofErr w:type="gramEnd"/>
      <w:r w:rsidRPr="00730923">
        <w:rPr>
          <w:sz w:val="20"/>
        </w:rPr>
        <w:t>.</w:t>
      </w:r>
    </w:p>
  </w:footnote>
  <w:footnote w:id="40">
    <w:p w:rsidR="00084131" w:rsidRPr="00730923" w:rsidRDefault="00084131">
      <w:pPr>
        <w:pStyle w:val="FootnoteText"/>
        <w:rPr>
          <w:sz w:val="20"/>
        </w:rPr>
      </w:pPr>
      <w:r w:rsidRPr="00730923">
        <w:rPr>
          <w:rStyle w:val="FootnoteReference"/>
          <w:sz w:val="20"/>
        </w:rPr>
        <w:footnoteRef/>
      </w:r>
      <w:r w:rsidRPr="00730923">
        <w:rPr>
          <w:sz w:val="20"/>
        </w:rPr>
        <w:t xml:space="preserve"> Cited from Parker, </w:t>
      </w:r>
      <w:r w:rsidRPr="00730923">
        <w:rPr>
          <w:i/>
          <w:sz w:val="20"/>
        </w:rPr>
        <w:t>History</w:t>
      </w:r>
      <w:r w:rsidRPr="00730923">
        <w:rPr>
          <w:sz w:val="20"/>
        </w:rPr>
        <w:t xml:space="preserve">, </w:t>
      </w:r>
      <w:proofErr w:type="gramStart"/>
      <w:r w:rsidRPr="00730923">
        <w:rPr>
          <w:sz w:val="20"/>
        </w:rPr>
        <w:t>p237</w:t>
      </w:r>
      <w:proofErr w:type="gramEnd"/>
      <w:r w:rsidRPr="00730923">
        <w:rPr>
          <w:sz w:val="20"/>
        </w:rPr>
        <w:t>.</w:t>
      </w:r>
    </w:p>
  </w:footnote>
  <w:footnote w:id="41">
    <w:p w:rsidR="00084131" w:rsidRPr="00730923" w:rsidRDefault="00084131">
      <w:pPr>
        <w:pStyle w:val="FootnoteText"/>
        <w:rPr>
          <w:sz w:val="20"/>
        </w:rPr>
      </w:pPr>
      <w:r w:rsidRPr="00730923">
        <w:rPr>
          <w:rStyle w:val="FootnoteReference"/>
          <w:sz w:val="20"/>
        </w:rPr>
        <w:footnoteRef/>
      </w:r>
      <w:r w:rsidRPr="00730923">
        <w:rPr>
          <w:sz w:val="20"/>
        </w:rPr>
        <w:t xml:space="preserve"> Further evidence can be found in the Great War, a conflict that did not </w:t>
      </w:r>
      <w:proofErr w:type="spellStart"/>
      <w:r w:rsidRPr="00730923">
        <w:rPr>
          <w:sz w:val="20"/>
        </w:rPr>
        <w:t>diretly</w:t>
      </w:r>
      <w:proofErr w:type="spellEnd"/>
      <w:r w:rsidRPr="00730923">
        <w:rPr>
          <w:sz w:val="20"/>
        </w:rPr>
        <w:t xml:space="preserve"> </w:t>
      </w:r>
      <w:proofErr w:type="gramStart"/>
      <w:r w:rsidRPr="00730923">
        <w:rPr>
          <w:sz w:val="20"/>
        </w:rPr>
        <w:t>engage</w:t>
      </w:r>
      <w:proofErr w:type="gramEnd"/>
      <w:r w:rsidRPr="00730923">
        <w:rPr>
          <w:sz w:val="20"/>
        </w:rPr>
        <w:t xml:space="preserve"> the United States as did the Civil War or World War Two.  Even so, once America committed in 1917 the results were astounding.  The US army went from a mere garrison force to a powerful organization more than two million strong in little more than a year.  Just as powerful as these raw numbers was that although the fresh US troops were “enthusiastic rather than efficient,” they “fought with a disregard for casualties scarcely seen on the Western Front since the beginning of the war.”  </w:t>
      </w:r>
      <w:proofErr w:type="gramStart"/>
      <w:r w:rsidRPr="00730923">
        <w:rPr>
          <w:sz w:val="20"/>
        </w:rPr>
        <w:t xml:space="preserve">Keegan, </w:t>
      </w:r>
      <w:r w:rsidRPr="00730923">
        <w:rPr>
          <w:i/>
          <w:sz w:val="20"/>
        </w:rPr>
        <w:t>First World War</w:t>
      </w:r>
      <w:r w:rsidRPr="00730923">
        <w:rPr>
          <w:sz w:val="20"/>
        </w:rPr>
        <w:t>, (Vintage Canada, 2000), p409, 411-12.</w:t>
      </w:r>
      <w:proofErr w:type="gramEnd"/>
    </w:p>
  </w:footnote>
  <w:footnote w:id="42">
    <w:p w:rsidR="00084131" w:rsidRPr="00730923" w:rsidRDefault="00084131" w:rsidP="00390E6E">
      <w:pPr>
        <w:widowControl w:val="0"/>
        <w:autoSpaceDE w:val="0"/>
        <w:autoSpaceDN w:val="0"/>
        <w:adjustRightInd w:val="0"/>
        <w:rPr>
          <w:sz w:val="20"/>
          <w:szCs w:val="29"/>
        </w:rPr>
      </w:pPr>
      <w:r w:rsidRPr="00730923">
        <w:rPr>
          <w:rStyle w:val="FootnoteReference"/>
          <w:sz w:val="20"/>
        </w:rPr>
        <w:footnoteRef/>
      </w:r>
      <w:r w:rsidRPr="00730923">
        <w:rPr>
          <w:sz w:val="20"/>
        </w:rPr>
        <w:t xml:space="preserve"> </w:t>
      </w:r>
      <w:r w:rsidRPr="00730923">
        <w:rPr>
          <w:sz w:val="20"/>
          <w:szCs w:val="29"/>
        </w:rPr>
        <w:t xml:space="preserve">The British and American air forces lost a total of 21,900 aircraft and 158,000 flying personnel in World War II.  The cost on Germany was even greater.  Vast areas of urban Germany were devastated, and an estimated 420,000 Germans were killed in the raids, the great bulk of these losses comprising women, children, and old men.  </w:t>
      </w:r>
      <w:proofErr w:type="gramStart"/>
      <w:r w:rsidRPr="00730923">
        <w:rPr>
          <w:sz w:val="20"/>
          <w:szCs w:val="29"/>
        </w:rPr>
        <w:t xml:space="preserve">John Keegan, </w:t>
      </w:r>
      <w:r w:rsidRPr="00730923">
        <w:rPr>
          <w:i/>
          <w:sz w:val="20"/>
          <w:szCs w:val="29"/>
        </w:rPr>
        <w:t>Atlas of World War II</w:t>
      </w:r>
      <w:r w:rsidRPr="00730923">
        <w:rPr>
          <w:sz w:val="20"/>
          <w:szCs w:val="29"/>
        </w:rPr>
        <w:t>, (New York: HarperCollins, 2006), p121.</w:t>
      </w:r>
      <w:proofErr w:type="gramEnd"/>
    </w:p>
  </w:footnote>
  <w:footnote w:id="43">
    <w:p w:rsidR="00084131" w:rsidRPr="00730923" w:rsidRDefault="00084131">
      <w:pPr>
        <w:pStyle w:val="FootnoteText"/>
        <w:rPr>
          <w:sz w:val="20"/>
        </w:rPr>
      </w:pPr>
      <w:r w:rsidRPr="00730923">
        <w:rPr>
          <w:rStyle w:val="FootnoteReference"/>
          <w:sz w:val="20"/>
        </w:rPr>
        <w:footnoteRef/>
      </w:r>
      <w:r w:rsidRPr="00730923">
        <w:rPr>
          <w:sz w:val="20"/>
        </w:rPr>
        <w:t xml:space="preserve"> For more on this ‘</w:t>
      </w:r>
      <w:proofErr w:type="spellStart"/>
      <w:r w:rsidRPr="00730923">
        <w:rPr>
          <w:sz w:val="20"/>
        </w:rPr>
        <w:t>verstehen</w:t>
      </w:r>
      <w:proofErr w:type="spellEnd"/>
      <w:r w:rsidRPr="00730923">
        <w:rPr>
          <w:sz w:val="20"/>
        </w:rPr>
        <w:t xml:space="preserve">’ approach, see </w:t>
      </w:r>
      <w:r w:rsidRPr="00730923">
        <w:rPr>
          <w:color w:val="000000"/>
          <w:sz w:val="20"/>
        </w:rPr>
        <w:t xml:space="preserve">Robert Putnam, </w:t>
      </w:r>
      <w:r w:rsidRPr="00730923">
        <w:rPr>
          <w:i/>
          <w:color w:val="000000"/>
          <w:sz w:val="20"/>
        </w:rPr>
        <w:t>Making Democracy Work</w:t>
      </w:r>
      <w:r w:rsidRPr="00730923">
        <w:rPr>
          <w:color w:val="000000"/>
          <w:sz w:val="20"/>
        </w:rPr>
        <w:t>, (Princeton, NJ: Princeton University Press, 1993), p12.</w:t>
      </w:r>
    </w:p>
  </w:footnote>
  <w:footnote w:id="44">
    <w:p w:rsidR="00084131" w:rsidRPr="00730923" w:rsidRDefault="00084131">
      <w:pPr>
        <w:pStyle w:val="FootnoteText"/>
        <w:rPr>
          <w:sz w:val="20"/>
        </w:rPr>
      </w:pPr>
      <w:r w:rsidRPr="00730923">
        <w:rPr>
          <w:rStyle w:val="FootnoteReference"/>
          <w:sz w:val="20"/>
        </w:rPr>
        <w:footnoteRef/>
      </w:r>
      <w:r w:rsidRPr="00730923">
        <w:rPr>
          <w:sz w:val="20"/>
        </w:rPr>
        <w:t xml:space="preserve"> Excellent work on loss aversion includes </w:t>
      </w:r>
      <w:proofErr w:type="spellStart"/>
      <w:r w:rsidRPr="00730923">
        <w:rPr>
          <w:rFonts w:eastAsiaTheme="minorHAnsi" w:cstheme="minorBidi"/>
          <w:sz w:val="20"/>
          <w:szCs w:val="20"/>
        </w:rPr>
        <w:t>Kahneman</w:t>
      </w:r>
      <w:proofErr w:type="spellEnd"/>
      <w:r w:rsidRPr="00730923">
        <w:rPr>
          <w:rFonts w:eastAsiaTheme="minorHAnsi" w:cstheme="minorBidi"/>
          <w:sz w:val="20"/>
          <w:szCs w:val="20"/>
        </w:rPr>
        <w:t xml:space="preserve">, “Bounded Rationality”; and </w:t>
      </w:r>
      <w:r w:rsidRPr="00730923">
        <w:rPr>
          <w:rFonts w:eastAsiaTheme="minorHAnsi" w:cs="Arial"/>
          <w:sz w:val="20"/>
        </w:rPr>
        <w:t xml:space="preserve">Jack Levy, "Loss Aversion, Framing Effects, and International Conflict," in </w:t>
      </w:r>
      <w:r w:rsidRPr="00730923">
        <w:rPr>
          <w:rFonts w:eastAsiaTheme="minorHAnsi" w:cs="Arial"/>
          <w:i/>
          <w:iCs/>
          <w:sz w:val="20"/>
        </w:rPr>
        <w:t>Handbook of War Studies II</w:t>
      </w:r>
      <w:r>
        <w:rPr>
          <w:rFonts w:eastAsiaTheme="minorHAnsi" w:cs="Arial"/>
          <w:sz w:val="20"/>
        </w:rPr>
        <w:t>, Manus</w:t>
      </w:r>
      <w:r w:rsidRPr="00730923">
        <w:rPr>
          <w:rFonts w:eastAsiaTheme="minorHAnsi" w:cs="Arial"/>
          <w:sz w:val="20"/>
        </w:rPr>
        <w:t xml:space="preserve"> </w:t>
      </w:r>
      <w:proofErr w:type="spellStart"/>
      <w:r w:rsidRPr="00730923">
        <w:rPr>
          <w:rFonts w:eastAsiaTheme="minorHAnsi" w:cs="Arial"/>
          <w:sz w:val="20"/>
        </w:rPr>
        <w:t>Midlarsky</w:t>
      </w:r>
      <w:proofErr w:type="spellEnd"/>
      <w:r w:rsidRPr="00730923">
        <w:rPr>
          <w:rFonts w:eastAsiaTheme="minorHAnsi" w:cs="Arial"/>
          <w:sz w:val="20"/>
        </w:rPr>
        <w:t xml:space="preserve"> (ed), (Ann Arbor: University of Michigan Press, 2000), </w:t>
      </w:r>
      <w:r>
        <w:rPr>
          <w:rFonts w:eastAsiaTheme="minorHAnsi" w:cs="Arial"/>
          <w:sz w:val="20"/>
        </w:rPr>
        <w:t>p1</w:t>
      </w:r>
      <w:r w:rsidRPr="00730923">
        <w:rPr>
          <w:rFonts w:eastAsiaTheme="minorHAnsi" w:cs="Arial"/>
          <w:sz w:val="20"/>
        </w:rPr>
        <w:t>93-221.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EE1"/>
    <w:multiLevelType w:val="hybridMultilevel"/>
    <w:tmpl w:val="8106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4140E"/>
    <w:multiLevelType w:val="hybridMultilevel"/>
    <w:tmpl w:val="8216FC5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80C4488"/>
    <w:multiLevelType w:val="hybridMultilevel"/>
    <w:tmpl w:val="E392E44E"/>
    <w:lvl w:ilvl="0" w:tplc="A2E2224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81064"/>
    <w:rsid w:val="000208CD"/>
    <w:rsid w:val="000252FA"/>
    <w:rsid w:val="00027888"/>
    <w:rsid w:val="000406B1"/>
    <w:rsid w:val="00054E0D"/>
    <w:rsid w:val="000659FD"/>
    <w:rsid w:val="00075747"/>
    <w:rsid w:val="00084131"/>
    <w:rsid w:val="00092410"/>
    <w:rsid w:val="000A1B43"/>
    <w:rsid w:val="000B1382"/>
    <w:rsid w:val="000D0B41"/>
    <w:rsid w:val="00101134"/>
    <w:rsid w:val="00104B9D"/>
    <w:rsid w:val="0012152E"/>
    <w:rsid w:val="0016391A"/>
    <w:rsid w:val="00171633"/>
    <w:rsid w:val="00177FF4"/>
    <w:rsid w:val="00181064"/>
    <w:rsid w:val="00187902"/>
    <w:rsid w:val="001C5FD6"/>
    <w:rsid w:val="001E0C4B"/>
    <w:rsid w:val="002032A4"/>
    <w:rsid w:val="00203704"/>
    <w:rsid w:val="00203C65"/>
    <w:rsid w:val="00217204"/>
    <w:rsid w:val="00234938"/>
    <w:rsid w:val="002616A8"/>
    <w:rsid w:val="00274F95"/>
    <w:rsid w:val="002957FE"/>
    <w:rsid w:val="00297103"/>
    <w:rsid w:val="00297F2A"/>
    <w:rsid w:val="002C1AE8"/>
    <w:rsid w:val="002C620B"/>
    <w:rsid w:val="002D4094"/>
    <w:rsid w:val="002F1DD6"/>
    <w:rsid w:val="003017E2"/>
    <w:rsid w:val="00305440"/>
    <w:rsid w:val="00317E4A"/>
    <w:rsid w:val="00322C51"/>
    <w:rsid w:val="00330960"/>
    <w:rsid w:val="00340D01"/>
    <w:rsid w:val="00347460"/>
    <w:rsid w:val="00390E6E"/>
    <w:rsid w:val="00393FDF"/>
    <w:rsid w:val="003B41B2"/>
    <w:rsid w:val="003D37DE"/>
    <w:rsid w:val="003F0C5E"/>
    <w:rsid w:val="003F37E7"/>
    <w:rsid w:val="00404AFE"/>
    <w:rsid w:val="00416A0F"/>
    <w:rsid w:val="0045752E"/>
    <w:rsid w:val="00460382"/>
    <w:rsid w:val="0046278D"/>
    <w:rsid w:val="00465546"/>
    <w:rsid w:val="004A6276"/>
    <w:rsid w:val="004D53E9"/>
    <w:rsid w:val="004D571A"/>
    <w:rsid w:val="004E0480"/>
    <w:rsid w:val="004F0E28"/>
    <w:rsid w:val="00556408"/>
    <w:rsid w:val="005572D0"/>
    <w:rsid w:val="005719FE"/>
    <w:rsid w:val="00594956"/>
    <w:rsid w:val="005B4BC2"/>
    <w:rsid w:val="005C0235"/>
    <w:rsid w:val="005E3B9D"/>
    <w:rsid w:val="005F07EF"/>
    <w:rsid w:val="00610912"/>
    <w:rsid w:val="00612942"/>
    <w:rsid w:val="00626D11"/>
    <w:rsid w:val="0063394E"/>
    <w:rsid w:val="00637B61"/>
    <w:rsid w:val="00660B10"/>
    <w:rsid w:val="00661A8B"/>
    <w:rsid w:val="00665799"/>
    <w:rsid w:val="00675496"/>
    <w:rsid w:val="0069297A"/>
    <w:rsid w:val="006959B1"/>
    <w:rsid w:val="006A3914"/>
    <w:rsid w:val="006C0202"/>
    <w:rsid w:val="006E0C97"/>
    <w:rsid w:val="006E3939"/>
    <w:rsid w:val="006E4553"/>
    <w:rsid w:val="006E6463"/>
    <w:rsid w:val="00704720"/>
    <w:rsid w:val="00705E9D"/>
    <w:rsid w:val="00716D10"/>
    <w:rsid w:val="0072625D"/>
    <w:rsid w:val="00730923"/>
    <w:rsid w:val="00791D32"/>
    <w:rsid w:val="007C15F9"/>
    <w:rsid w:val="007E0810"/>
    <w:rsid w:val="007F66B5"/>
    <w:rsid w:val="008039DA"/>
    <w:rsid w:val="00822BAD"/>
    <w:rsid w:val="00842C58"/>
    <w:rsid w:val="00843FB5"/>
    <w:rsid w:val="0085317C"/>
    <w:rsid w:val="00866B48"/>
    <w:rsid w:val="00871845"/>
    <w:rsid w:val="00880E57"/>
    <w:rsid w:val="00896A8D"/>
    <w:rsid w:val="008C0198"/>
    <w:rsid w:val="008E133B"/>
    <w:rsid w:val="008F4ABC"/>
    <w:rsid w:val="00913769"/>
    <w:rsid w:val="00933104"/>
    <w:rsid w:val="00937696"/>
    <w:rsid w:val="00944C80"/>
    <w:rsid w:val="00956ED6"/>
    <w:rsid w:val="00964054"/>
    <w:rsid w:val="0096698E"/>
    <w:rsid w:val="009A09D2"/>
    <w:rsid w:val="009A439C"/>
    <w:rsid w:val="009A44D5"/>
    <w:rsid w:val="009D2FC4"/>
    <w:rsid w:val="009D3A5E"/>
    <w:rsid w:val="009E3746"/>
    <w:rsid w:val="009E7D62"/>
    <w:rsid w:val="009F5232"/>
    <w:rsid w:val="009F7152"/>
    <w:rsid w:val="00A01FAE"/>
    <w:rsid w:val="00A05E80"/>
    <w:rsid w:val="00A123E3"/>
    <w:rsid w:val="00A255FF"/>
    <w:rsid w:val="00A43BB8"/>
    <w:rsid w:val="00A535B3"/>
    <w:rsid w:val="00A62A4C"/>
    <w:rsid w:val="00A9395B"/>
    <w:rsid w:val="00A95CB9"/>
    <w:rsid w:val="00AA22EB"/>
    <w:rsid w:val="00AA4348"/>
    <w:rsid w:val="00AE58AE"/>
    <w:rsid w:val="00AE6268"/>
    <w:rsid w:val="00AF31F9"/>
    <w:rsid w:val="00AF5FEC"/>
    <w:rsid w:val="00AF773C"/>
    <w:rsid w:val="00B1171E"/>
    <w:rsid w:val="00B136F6"/>
    <w:rsid w:val="00B61200"/>
    <w:rsid w:val="00B65EE4"/>
    <w:rsid w:val="00B9254A"/>
    <w:rsid w:val="00B9526E"/>
    <w:rsid w:val="00B96597"/>
    <w:rsid w:val="00BA6D84"/>
    <w:rsid w:val="00BA7FC3"/>
    <w:rsid w:val="00BB086D"/>
    <w:rsid w:val="00BB3A6F"/>
    <w:rsid w:val="00BC46CA"/>
    <w:rsid w:val="00BD4585"/>
    <w:rsid w:val="00C04BD3"/>
    <w:rsid w:val="00C13483"/>
    <w:rsid w:val="00C23365"/>
    <w:rsid w:val="00C37347"/>
    <w:rsid w:val="00C42559"/>
    <w:rsid w:val="00C525B1"/>
    <w:rsid w:val="00CA54EB"/>
    <w:rsid w:val="00CB5658"/>
    <w:rsid w:val="00CC6ECB"/>
    <w:rsid w:val="00CD7386"/>
    <w:rsid w:val="00CD7912"/>
    <w:rsid w:val="00CE5BF7"/>
    <w:rsid w:val="00CE79B9"/>
    <w:rsid w:val="00D168A0"/>
    <w:rsid w:val="00D3121A"/>
    <w:rsid w:val="00D575C2"/>
    <w:rsid w:val="00D647E8"/>
    <w:rsid w:val="00D669AE"/>
    <w:rsid w:val="00D81E1E"/>
    <w:rsid w:val="00DA306A"/>
    <w:rsid w:val="00DA42D9"/>
    <w:rsid w:val="00DA5896"/>
    <w:rsid w:val="00DB186B"/>
    <w:rsid w:val="00DB4C55"/>
    <w:rsid w:val="00DB5E47"/>
    <w:rsid w:val="00DD0F99"/>
    <w:rsid w:val="00DE4E64"/>
    <w:rsid w:val="00E13B29"/>
    <w:rsid w:val="00E235D1"/>
    <w:rsid w:val="00E35AC6"/>
    <w:rsid w:val="00E40FFD"/>
    <w:rsid w:val="00E4775D"/>
    <w:rsid w:val="00E578DB"/>
    <w:rsid w:val="00E63B92"/>
    <w:rsid w:val="00E809F1"/>
    <w:rsid w:val="00EA48E8"/>
    <w:rsid w:val="00EA5435"/>
    <w:rsid w:val="00EC00F7"/>
    <w:rsid w:val="00EF2CE4"/>
    <w:rsid w:val="00F1734B"/>
    <w:rsid w:val="00FB1AC7"/>
    <w:rsid w:val="00FC04F0"/>
    <w:rsid w:val="00FE738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81064"/>
    <w:rPr>
      <w:rFonts w:ascii="Times New Roman" w:eastAsia="Times New Roman" w:hAnsi="Times New Roman" w:cs="Times New Roman"/>
    </w:rPr>
  </w:style>
  <w:style w:type="paragraph" w:styleId="Heading4">
    <w:name w:val="heading 4"/>
    <w:basedOn w:val="Normal"/>
    <w:link w:val="Heading4Char"/>
    <w:uiPriority w:val="9"/>
    <w:rsid w:val="00CD7912"/>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C568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6677"/>
    <w:rPr>
      <w:rFonts w:ascii="Lucida Grande" w:hAnsi="Lucida Grande"/>
      <w:sz w:val="18"/>
      <w:szCs w:val="18"/>
    </w:rPr>
  </w:style>
  <w:style w:type="character" w:customStyle="1" w:styleId="BalloonTextChar0">
    <w:name w:val="Balloon Text Char"/>
    <w:basedOn w:val="DefaultParagraphFont"/>
    <w:link w:val="BalloonText"/>
    <w:uiPriority w:val="99"/>
    <w:semiHidden/>
    <w:rsid w:val="005D067D"/>
    <w:rPr>
      <w:rFonts w:ascii="Lucida Grande" w:hAnsi="Lucida Grande"/>
      <w:sz w:val="18"/>
      <w:szCs w:val="18"/>
    </w:rPr>
  </w:style>
  <w:style w:type="character" w:customStyle="1" w:styleId="BalloonTextChar2">
    <w:name w:val="Balloon Text Char"/>
    <w:basedOn w:val="DefaultParagraphFont"/>
    <w:link w:val="BalloonText"/>
    <w:uiPriority w:val="99"/>
    <w:semiHidden/>
    <w:rsid w:val="00CC568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C568F"/>
    <w:rPr>
      <w:rFonts w:ascii="Lucida Grande" w:hAnsi="Lucida Grande"/>
      <w:sz w:val="18"/>
      <w:szCs w:val="18"/>
    </w:rPr>
  </w:style>
  <w:style w:type="paragraph" w:styleId="FootnoteText">
    <w:name w:val="footnote text"/>
    <w:basedOn w:val="Normal"/>
    <w:link w:val="FootnoteTextChar"/>
    <w:rsid w:val="005572D0"/>
  </w:style>
  <w:style w:type="character" w:customStyle="1" w:styleId="FootnoteTextChar">
    <w:name w:val="Footnote Text Char"/>
    <w:basedOn w:val="DefaultParagraphFont"/>
    <w:link w:val="FootnoteText"/>
    <w:rsid w:val="005572D0"/>
    <w:rPr>
      <w:rFonts w:ascii="Times New Roman" w:eastAsia="Times New Roman" w:hAnsi="Times New Roman" w:cs="Times New Roman"/>
      <w:sz w:val="24"/>
      <w:szCs w:val="24"/>
    </w:rPr>
  </w:style>
  <w:style w:type="character" w:styleId="FootnoteReference">
    <w:name w:val="footnote reference"/>
    <w:basedOn w:val="DefaultParagraphFont"/>
    <w:rsid w:val="005572D0"/>
    <w:rPr>
      <w:vertAlign w:val="superscript"/>
    </w:rPr>
  </w:style>
  <w:style w:type="paragraph" w:styleId="ListParagraph">
    <w:name w:val="List Paragraph"/>
    <w:basedOn w:val="Normal"/>
    <w:rsid w:val="005572D0"/>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CD7912"/>
    <w:rPr>
      <w:rFonts w:ascii="Times" w:eastAsia="Times New Roman" w:hAnsi="Times" w:cs="Times New Roman"/>
      <w:b/>
      <w:sz w:val="24"/>
    </w:rPr>
  </w:style>
  <w:style w:type="character" w:styleId="Hyperlink">
    <w:name w:val="Hyperlink"/>
    <w:basedOn w:val="DefaultParagraphFont"/>
    <w:rsid w:val="00CD7912"/>
    <w:rPr>
      <w:color w:val="0000FF"/>
      <w:u w:val="single"/>
    </w:rPr>
  </w:style>
  <w:style w:type="paragraph" w:styleId="Header">
    <w:name w:val="header"/>
    <w:basedOn w:val="Normal"/>
    <w:link w:val="HeaderChar"/>
    <w:uiPriority w:val="99"/>
    <w:semiHidden/>
    <w:unhideWhenUsed/>
    <w:rsid w:val="00CD7912"/>
    <w:pPr>
      <w:tabs>
        <w:tab w:val="center" w:pos="4320"/>
        <w:tab w:val="right" w:pos="8640"/>
      </w:tabs>
    </w:pPr>
  </w:style>
  <w:style w:type="character" w:customStyle="1" w:styleId="HeaderChar">
    <w:name w:val="Header Char"/>
    <w:basedOn w:val="DefaultParagraphFont"/>
    <w:link w:val="Header"/>
    <w:uiPriority w:val="99"/>
    <w:semiHidden/>
    <w:rsid w:val="00CD7912"/>
    <w:rPr>
      <w:rFonts w:ascii="Times New Roman" w:eastAsia="Times New Roman" w:hAnsi="Times New Roman" w:cs="Times New Roman"/>
      <w:sz w:val="24"/>
      <w:szCs w:val="24"/>
    </w:rPr>
  </w:style>
  <w:style w:type="paragraph" w:styleId="Footer">
    <w:name w:val="footer"/>
    <w:basedOn w:val="Normal"/>
    <w:link w:val="FooterChar"/>
    <w:semiHidden/>
    <w:unhideWhenUsed/>
    <w:rsid w:val="00CD7912"/>
    <w:pPr>
      <w:tabs>
        <w:tab w:val="center" w:pos="4320"/>
        <w:tab w:val="right" w:pos="8640"/>
      </w:tabs>
    </w:pPr>
  </w:style>
  <w:style w:type="character" w:customStyle="1" w:styleId="FooterChar">
    <w:name w:val="Footer Char"/>
    <w:basedOn w:val="DefaultParagraphFont"/>
    <w:link w:val="Footer"/>
    <w:uiPriority w:val="99"/>
    <w:semiHidden/>
    <w:rsid w:val="00CD7912"/>
    <w:rPr>
      <w:rFonts w:ascii="Times New Roman" w:eastAsia="Times New Roman" w:hAnsi="Times New Roman" w:cs="Times New Roman"/>
      <w:sz w:val="24"/>
      <w:szCs w:val="24"/>
    </w:rPr>
  </w:style>
  <w:style w:type="character" w:styleId="PageNumber">
    <w:name w:val="page number"/>
    <w:basedOn w:val="DefaultParagraphFont"/>
    <w:rsid w:val="00CD7912"/>
  </w:style>
  <w:style w:type="character" w:styleId="HTMLDefinition">
    <w:name w:val="HTML Definition"/>
    <w:rsid w:val="00FE7388"/>
    <w:rPr>
      <w:vertAlign w:val="superscript"/>
    </w:rPr>
  </w:style>
</w:styles>
</file>

<file path=word/webSettings.xml><?xml version="1.0" encoding="utf-8"?>
<w:webSettings xmlns:r="http://schemas.openxmlformats.org/officeDocument/2006/relationships" xmlns:w="http://schemas.openxmlformats.org/wordprocessingml/2006/main">
  <w:divs>
    <w:div w:id="45223931">
      <w:bodyDiv w:val="1"/>
      <w:marLeft w:val="0"/>
      <w:marRight w:val="0"/>
      <w:marTop w:val="0"/>
      <w:marBottom w:val="0"/>
      <w:divBdr>
        <w:top w:val="none" w:sz="0" w:space="0" w:color="auto"/>
        <w:left w:val="none" w:sz="0" w:space="0" w:color="auto"/>
        <w:bottom w:val="none" w:sz="0" w:space="0" w:color="auto"/>
        <w:right w:val="none" w:sz="0" w:space="0" w:color="auto"/>
      </w:divBdr>
    </w:div>
    <w:div w:id="352269931">
      <w:bodyDiv w:val="1"/>
      <w:marLeft w:val="0"/>
      <w:marRight w:val="0"/>
      <w:marTop w:val="0"/>
      <w:marBottom w:val="0"/>
      <w:divBdr>
        <w:top w:val="none" w:sz="0" w:space="0" w:color="auto"/>
        <w:left w:val="none" w:sz="0" w:space="0" w:color="auto"/>
        <w:bottom w:val="none" w:sz="0" w:space="0" w:color="auto"/>
        <w:right w:val="none" w:sz="0" w:space="0" w:color="auto"/>
      </w:divBdr>
    </w:div>
    <w:div w:id="575942811">
      <w:bodyDiv w:val="1"/>
      <w:marLeft w:val="0"/>
      <w:marRight w:val="0"/>
      <w:marTop w:val="0"/>
      <w:marBottom w:val="0"/>
      <w:divBdr>
        <w:top w:val="none" w:sz="0" w:space="0" w:color="auto"/>
        <w:left w:val="none" w:sz="0" w:space="0" w:color="auto"/>
        <w:bottom w:val="none" w:sz="0" w:space="0" w:color="auto"/>
        <w:right w:val="none" w:sz="0" w:space="0" w:color="auto"/>
      </w:divBdr>
    </w:div>
    <w:div w:id="612591872">
      <w:bodyDiv w:val="1"/>
      <w:marLeft w:val="0"/>
      <w:marRight w:val="0"/>
      <w:marTop w:val="0"/>
      <w:marBottom w:val="0"/>
      <w:divBdr>
        <w:top w:val="none" w:sz="0" w:space="0" w:color="auto"/>
        <w:left w:val="none" w:sz="0" w:space="0" w:color="auto"/>
        <w:bottom w:val="none" w:sz="0" w:space="0" w:color="auto"/>
        <w:right w:val="none" w:sz="0" w:space="0" w:color="auto"/>
      </w:divBdr>
    </w:div>
    <w:div w:id="671488527">
      <w:bodyDiv w:val="1"/>
      <w:marLeft w:val="0"/>
      <w:marRight w:val="0"/>
      <w:marTop w:val="0"/>
      <w:marBottom w:val="0"/>
      <w:divBdr>
        <w:top w:val="none" w:sz="0" w:space="0" w:color="auto"/>
        <w:left w:val="none" w:sz="0" w:space="0" w:color="auto"/>
        <w:bottom w:val="none" w:sz="0" w:space="0" w:color="auto"/>
        <w:right w:val="none" w:sz="0" w:space="0" w:color="auto"/>
      </w:divBdr>
    </w:div>
    <w:div w:id="747117428">
      <w:bodyDiv w:val="1"/>
      <w:marLeft w:val="0"/>
      <w:marRight w:val="0"/>
      <w:marTop w:val="0"/>
      <w:marBottom w:val="0"/>
      <w:divBdr>
        <w:top w:val="none" w:sz="0" w:space="0" w:color="auto"/>
        <w:left w:val="none" w:sz="0" w:space="0" w:color="auto"/>
        <w:bottom w:val="none" w:sz="0" w:space="0" w:color="auto"/>
        <w:right w:val="none" w:sz="0" w:space="0" w:color="auto"/>
      </w:divBdr>
    </w:div>
    <w:div w:id="841239920">
      <w:bodyDiv w:val="1"/>
      <w:marLeft w:val="0"/>
      <w:marRight w:val="0"/>
      <w:marTop w:val="0"/>
      <w:marBottom w:val="0"/>
      <w:divBdr>
        <w:top w:val="none" w:sz="0" w:space="0" w:color="auto"/>
        <w:left w:val="none" w:sz="0" w:space="0" w:color="auto"/>
        <w:bottom w:val="none" w:sz="0" w:space="0" w:color="auto"/>
        <w:right w:val="none" w:sz="0" w:space="0" w:color="auto"/>
      </w:divBdr>
    </w:div>
    <w:div w:id="889341196">
      <w:bodyDiv w:val="1"/>
      <w:marLeft w:val="0"/>
      <w:marRight w:val="0"/>
      <w:marTop w:val="0"/>
      <w:marBottom w:val="0"/>
      <w:divBdr>
        <w:top w:val="none" w:sz="0" w:space="0" w:color="auto"/>
        <w:left w:val="none" w:sz="0" w:space="0" w:color="auto"/>
        <w:bottom w:val="none" w:sz="0" w:space="0" w:color="auto"/>
        <w:right w:val="none" w:sz="0" w:space="0" w:color="auto"/>
      </w:divBdr>
    </w:div>
    <w:div w:id="952856637">
      <w:bodyDiv w:val="1"/>
      <w:marLeft w:val="0"/>
      <w:marRight w:val="0"/>
      <w:marTop w:val="0"/>
      <w:marBottom w:val="0"/>
      <w:divBdr>
        <w:top w:val="none" w:sz="0" w:space="0" w:color="auto"/>
        <w:left w:val="none" w:sz="0" w:space="0" w:color="auto"/>
        <w:bottom w:val="none" w:sz="0" w:space="0" w:color="auto"/>
        <w:right w:val="none" w:sz="0" w:space="0" w:color="auto"/>
      </w:divBdr>
    </w:div>
    <w:div w:id="1106073264">
      <w:bodyDiv w:val="1"/>
      <w:marLeft w:val="0"/>
      <w:marRight w:val="0"/>
      <w:marTop w:val="0"/>
      <w:marBottom w:val="0"/>
      <w:divBdr>
        <w:top w:val="none" w:sz="0" w:space="0" w:color="auto"/>
        <w:left w:val="none" w:sz="0" w:space="0" w:color="auto"/>
        <w:bottom w:val="none" w:sz="0" w:space="0" w:color="auto"/>
        <w:right w:val="none" w:sz="0" w:space="0" w:color="auto"/>
      </w:divBdr>
    </w:div>
    <w:div w:id="1108889514">
      <w:bodyDiv w:val="1"/>
      <w:marLeft w:val="0"/>
      <w:marRight w:val="0"/>
      <w:marTop w:val="0"/>
      <w:marBottom w:val="0"/>
      <w:divBdr>
        <w:top w:val="none" w:sz="0" w:space="0" w:color="auto"/>
        <w:left w:val="none" w:sz="0" w:space="0" w:color="auto"/>
        <w:bottom w:val="none" w:sz="0" w:space="0" w:color="auto"/>
        <w:right w:val="none" w:sz="0" w:space="0" w:color="auto"/>
      </w:divBdr>
    </w:div>
    <w:div w:id="1254317424">
      <w:bodyDiv w:val="1"/>
      <w:marLeft w:val="0"/>
      <w:marRight w:val="0"/>
      <w:marTop w:val="0"/>
      <w:marBottom w:val="0"/>
      <w:divBdr>
        <w:top w:val="none" w:sz="0" w:space="0" w:color="auto"/>
        <w:left w:val="none" w:sz="0" w:space="0" w:color="auto"/>
        <w:bottom w:val="none" w:sz="0" w:space="0" w:color="auto"/>
        <w:right w:val="none" w:sz="0" w:space="0" w:color="auto"/>
      </w:divBdr>
    </w:div>
    <w:div w:id="1379742584">
      <w:bodyDiv w:val="1"/>
      <w:marLeft w:val="0"/>
      <w:marRight w:val="0"/>
      <w:marTop w:val="0"/>
      <w:marBottom w:val="0"/>
      <w:divBdr>
        <w:top w:val="none" w:sz="0" w:space="0" w:color="auto"/>
        <w:left w:val="none" w:sz="0" w:space="0" w:color="auto"/>
        <w:bottom w:val="none" w:sz="0" w:space="0" w:color="auto"/>
        <w:right w:val="none" w:sz="0" w:space="0" w:color="auto"/>
      </w:divBdr>
    </w:div>
    <w:div w:id="1453548887">
      <w:bodyDiv w:val="1"/>
      <w:marLeft w:val="0"/>
      <w:marRight w:val="0"/>
      <w:marTop w:val="0"/>
      <w:marBottom w:val="0"/>
      <w:divBdr>
        <w:top w:val="none" w:sz="0" w:space="0" w:color="auto"/>
        <w:left w:val="none" w:sz="0" w:space="0" w:color="auto"/>
        <w:bottom w:val="none" w:sz="0" w:space="0" w:color="auto"/>
        <w:right w:val="none" w:sz="0" w:space="0" w:color="auto"/>
      </w:divBdr>
    </w:div>
    <w:div w:id="1605960361">
      <w:bodyDiv w:val="1"/>
      <w:marLeft w:val="0"/>
      <w:marRight w:val="0"/>
      <w:marTop w:val="0"/>
      <w:marBottom w:val="0"/>
      <w:divBdr>
        <w:top w:val="none" w:sz="0" w:space="0" w:color="auto"/>
        <w:left w:val="none" w:sz="0" w:space="0" w:color="auto"/>
        <w:bottom w:val="none" w:sz="0" w:space="0" w:color="auto"/>
        <w:right w:val="none" w:sz="0" w:space="0" w:color="auto"/>
      </w:divBdr>
    </w:div>
    <w:div w:id="1753699884">
      <w:bodyDiv w:val="1"/>
      <w:marLeft w:val="0"/>
      <w:marRight w:val="0"/>
      <w:marTop w:val="0"/>
      <w:marBottom w:val="0"/>
      <w:divBdr>
        <w:top w:val="none" w:sz="0" w:space="0" w:color="auto"/>
        <w:left w:val="none" w:sz="0" w:space="0" w:color="auto"/>
        <w:bottom w:val="none" w:sz="0" w:space="0" w:color="auto"/>
        <w:right w:val="none" w:sz="0" w:space="0" w:color="auto"/>
      </w:divBdr>
    </w:div>
    <w:div w:id="1879127273">
      <w:bodyDiv w:val="1"/>
      <w:marLeft w:val="0"/>
      <w:marRight w:val="0"/>
      <w:marTop w:val="0"/>
      <w:marBottom w:val="0"/>
      <w:divBdr>
        <w:top w:val="none" w:sz="0" w:space="0" w:color="auto"/>
        <w:left w:val="none" w:sz="0" w:space="0" w:color="auto"/>
        <w:bottom w:val="none" w:sz="0" w:space="0" w:color="auto"/>
        <w:right w:val="none" w:sz="0" w:space="0" w:color="auto"/>
      </w:divBdr>
    </w:div>
    <w:div w:id="1890725067">
      <w:bodyDiv w:val="1"/>
      <w:marLeft w:val="0"/>
      <w:marRight w:val="0"/>
      <w:marTop w:val="0"/>
      <w:marBottom w:val="0"/>
      <w:divBdr>
        <w:top w:val="none" w:sz="0" w:space="0" w:color="auto"/>
        <w:left w:val="none" w:sz="0" w:space="0" w:color="auto"/>
        <w:bottom w:val="none" w:sz="0" w:space="0" w:color="auto"/>
        <w:right w:val="none" w:sz="0" w:space="0" w:color="auto"/>
      </w:divBdr>
    </w:div>
    <w:div w:id="191948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1008</TotalTime>
  <Pages>11</Pages>
  <Words>4681</Words>
  <Characters>26683</Characters>
  <Application>Microsoft Macintosh Word</Application>
  <DocSecurity>0</DocSecurity>
  <Lines>222</Lines>
  <Paragraphs>53</Paragraphs>
  <ScaleCrop>false</ScaleCrop>
  <Company>Dalhousie University</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Hoque</dc:creator>
  <cp:keywords/>
  <cp:lastModifiedBy>Sabrina Hoque</cp:lastModifiedBy>
  <cp:revision>93</cp:revision>
  <cp:lastPrinted>2011-03-24T03:57:00Z</cp:lastPrinted>
  <dcterms:created xsi:type="dcterms:W3CDTF">2011-02-15T01:09:00Z</dcterms:created>
  <dcterms:modified xsi:type="dcterms:W3CDTF">2011-06-26T16:23:00Z</dcterms:modified>
</cp:coreProperties>
</file>